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CCE39D" w14:textId="775915CF" w:rsidR="00383D69" w:rsidRDefault="00570622">
      <w:pPr>
        <w:spacing w:line="192" w:lineRule="exact"/>
        <w:ind w:right="70"/>
        <w:jc w:val="right"/>
        <w:rPr>
          <w:b/>
          <w:sz w:val="22"/>
          <w:szCs w:val="22"/>
          <w:lang w:val="hr-HR"/>
        </w:rPr>
      </w:pPr>
      <w:r>
        <w:rPr>
          <w:noProof/>
        </w:rPr>
        <w:drawing>
          <wp:anchor distT="0" distB="0" distL="0" distR="0" simplePos="0" relativeHeight="251657728" behindDoc="0" locked="0" layoutInCell="1" allowOverlap="1" wp14:anchorId="5C1C8BF1" wp14:editId="3FE2B57B">
            <wp:simplePos x="0" y="0"/>
            <wp:positionH relativeFrom="column">
              <wp:posOffset>10795</wp:posOffset>
            </wp:positionH>
            <wp:positionV relativeFrom="paragraph">
              <wp:posOffset>14605</wp:posOffset>
            </wp:positionV>
            <wp:extent cx="1258570" cy="690880"/>
            <wp:effectExtent l="0" t="0" r="0" b="0"/>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8570" cy="6908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8752" behindDoc="0" locked="0" layoutInCell="1" allowOverlap="1" wp14:anchorId="4E318F6A" wp14:editId="3049A1C1">
            <wp:simplePos x="0" y="0"/>
            <wp:positionH relativeFrom="column">
              <wp:posOffset>2527300</wp:posOffset>
            </wp:positionH>
            <wp:positionV relativeFrom="paragraph">
              <wp:posOffset>-51435</wp:posOffset>
            </wp:positionV>
            <wp:extent cx="3986530" cy="706755"/>
            <wp:effectExtent l="0" t="0" r="0" b="0"/>
            <wp:wrapSquare wrapText="larges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6530" cy="7067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745002F" w14:textId="77777777" w:rsidR="00383D69" w:rsidRDefault="00383D69">
      <w:pPr>
        <w:spacing w:line="192" w:lineRule="exact"/>
        <w:ind w:right="70"/>
        <w:jc w:val="right"/>
        <w:rPr>
          <w:b/>
          <w:sz w:val="22"/>
          <w:szCs w:val="22"/>
          <w:lang w:val="hr-HR"/>
        </w:rPr>
      </w:pPr>
    </w:p>
    <w:p w14:paraId="5D24F88B" w14:textId="77777777" w:rsidR="00383D69" w:rsidRDefault="00383D69">
      <w:pPr>
        <w:spacing w:line="192" w:lineRule="exact"/>
        <w:ind w:right="70"/>
        <w:jc w:val="right"/>
        <w:rPr>
          <w:b/>
          <w:sz w:val="22"/>
          <w:szCs w:val="22"/>
          <w:lang w:val="hr-HR"/>
        </w:rPr>
      </w:pPr>
    </w:p>
    <w:p w14:paraId="6E5FD4CB" w14:textId="77777777" w:rsidR="00383D69" w:rsidRDefault="00383D69">
      <w:pPr>
        <w:spacing w:line="192" w:lineRule="exact"/>
        <w:ind w:right="70"/>
        <w:jc w:val="right"/>
        <w:rPr>
          <w:b/>
          <w:sz w:val="22"/>
          <w:szCs w:val="22"/>
          <w:lang w:val="hr-HR"/>
        </w:rPr>
      </w:pPr>
    </w:p>
    <w:p w14:paraId="6D7369F4" w14:textId="77777777" w:rsidR="00383D69" w:rsidRDefault="00383D69">
      <w:pPr>
        <w:spacing w:line="192" w:lineRule="exact"/>
        <w:ind w:right="70"/>
        <w:jc w:val="right"/>
        <w:rPr>
          <w:b/>
          <w:sz w:val="22"/>
          <w:szCs w:val="22"/>
          <w:lang w:val="hr-HR"/>
        </w:rPr>
      </w:pPr>
    </w:p>
    <w:p w14:paraId="7FB4995E" w14:textId="77777777" w:rsidR="00383D69" w:rsidRDefault="00383D69">
      <w:pPr>
        <w:spacing w:line="192" w:lineRule="exact"/>
        <w:ind w:right="70"/>
        <w:jc w:val="right"/>
        <w:rPr>
          <w:b/>
          <w:sz w:val="22"/>
          <w:szCs w:val="22"/>
          <w:lang w:val="hr-HR"/>
        </w:rPr>
      </w:pPr>
    </w:p>
    <w:p w14:paraId="4E6CA25C" w14:textId="77777777" w:rsidR="00383D69" w:rsidRDefault="00383D69">
      <w:pPr>
        <w:spacing w:line="192" w:lineRule="exact"/>
        <w:ind w:right="70"/>
        <w:jc w:val="right"/>
        <w:rPr>
          <w:b/>
          <w:sz w:val="22"/>
          <w:szCs w:val="22"/>
          <w:lang w:val="hr-HR"/>
        </w:rPr>
      </w:pPr>
    </w:p>
    <w:p w14:paraId="389D7CF6" w14:textId="77777777" w:rsidR="00383D69" w:rsidRDefault="00383D69">
      <w:pPr>
        <w:jc w:val="both"/>
        <w:rPr>
          <w:rFonts w:ascii="ANCPGK+Arial" w:eastAsia="ANCPGK+Arial" w:hAnsi="ANCPGK+Arial" w:cs="ANCPGK+Arial"/>
          <w:b/>
          <w:color w:val="000000"/>
          <w:sz w:val="20"/>
        </w:rPr>
      </w:pPr>
      <w:r>
        <w:rPr>
          <w:rFonts w:ascii="ANCPGK+Arial" w:eastAsia="ANCPGK+Arial" w:hAnsi="ANCPGK+Arial" w:cs="ANCPGK+Arial"/>
          <w:b/>
          <w:color w:val="000000"/>
          <w:sz w:val="20"/>
        </w:rPr>
        <w:t xml:space="preserve">ACI Hrvatska – Hrvatsko financijsko </w:t>
      </w:r>
      <w:r>
        <w:rPr>
          <w:rFonts w:ascii="ANCPGK+Arial" w:eastAsia="ANCPGK+Arial" w:hAnsi="ANCPGK+Arial" w:cs="ANCPGK+Arial"/>
          <w:b/>
          <w:color w:val="000000"/>
          <w:sz w:val="20"/>
        </w:rPr>
        <w:tab/>
      </w:r>
      <w:r>
        <w:rPr>
          <w:rFonts w:ascii="ANCPGK+Arial" w:eastAsia="ANCPGK+Arial" w:hAnsi="ANCPGK+Arial" w:cs="ANCPGK+Arial"/>
          <w:b/>
          <w:color w:val="000000"/>
          <w:sz w:val="20"/>
        </w:rPr>
        <w:tab/>
      </w:r>
      <w:r>
        <w:rPr>
          <w:rFonts w:ascii="ANCPGK+Arial" w:eastAsia="ANCPGK+Arial" w:hAnsi="ANCPGK+Arial" w:cs="ANCPGK+Arial"/>
          <w:b/>
          <w:color w:val="000000"/>
          <w:sz w:val="20"/>
        </w:rPr>
        <w:tab/>
        <w:t xml:space="preserve">         </w:t>
      </w:r>
      <w:r w:rsidR="00EC7C30">
        <w:rPr>
          <w:rFonts w:ascii="ANCPGK+Arial" w:eastAsia="ANCPGK+Arial" w:hAnsi="ANCPGK+Arial" w:cs="ANCPGK+Arial"/>
          <w:b/>
          <w:color w:val="000000"/>
          <w:sz w:val="20"/>
        </w:rPr>
        <w:t xml:space="preserve">          </w:t>
      </w:r>
      <w:r>
        <w:rPr>
          <w:rFonts w:ascii="ANCPGK+Arial" w:eastAsia="ANCPGK+Arial" w:hAnsi="ANCPGK+Arial" w:cs="ANCPGK+Arial"/>
          <w:b/>
          <w:color w:val="000000"/>
          <w:sz w:val="20"/>
        </w:rPr>
        <w:t>Gospodarsko interesno udruženje</w:t>
      </w:r>
    </w:p>
    <w:p w14:paraId="0CCFC588" w14:textId="77777777" w:rsidR="00383D69" w:rsidRDefault="00383D69">
      <w:pPr>
        <w:autoSpaceDE w:val="0"/>
        <w:rPr>
          <w:rFonts w:ascii="ANCPGK+Arial" w:eastAsia="ANCPGK+Arial" w:hAnsi="ANCPGK+Arial" w:cs="ANCPGK+Arial"/>
          <w:b/>
          <w:color w:val="0000FF"/>
          <w:sz w:val="20"/>
          <w:lang w:val="hr-HR"/>
        </w:rPr>
      </w:pPr>
      <w:r>
        <w:rPr>
          <w:rFonts w:ascii="ANCPGK+Arial" w:eastAsia="ANCPGK+Arial" w:hAnsi="ANCPGK+Arial" w:cs="ANCPGK+Arial"/>
          <w:color w:val="000000"/>
          <w:sz w:val="20"/>
        </w:rPr>
        <w:t>t</w:t>
      </w:r>
      <w:r>
        <w:rPr>
          <w:rFonts w:ascii="ANCPGK+Arial" w:eastAsia="ANCPGK+Arial" w:hAnsi="ANCPGK+Arial" w:cs="ANCPGK+Arial"/>
          <w:b/>
          <w:bCs/>
          <w:color w:val="000000"/>
          <w:sz w:val="20"/>
        </w:rPr>
        <w:t xml:space="preserve">ržišno udruženje </w:t>
      </w:r>
      <w:r>
        <w:rPr>
          <w:rFonts w:ascii="ANCPGK+Arial" w:eastAsia="ANCPGK+Arial" w:hAnsi="ANCPGK+Arial" w:cs="ANCPGK+Arial"/>
          <w:b/>
          <w:bCs/>
          <w:color w:val="000000"/>
          <w:sz w:val="20"/>
        </w:rPr>
        <w:tab/>
      </w:r>
      <w:r>
        <w:rPr>
          <w:rFonts w:ascii="ANCPGK+Arial" w:eastAsia="ANCPGK+Arial" w:hAnsi="ANCPGK+Arial" w:cs="ANCPGK+Arial"/>
          <w:b/>
          <w:bCs/>
          <w:color w:val="000000"/>
          <w:sz w:val="20"/>
        </w:rPr>
        <w:tab/>
      </w:r>
      <w:r>
        <w:rPr>
          <w:rFonts w:ascii="ANCPGK+Arial" w:eastAsia="ANCPGK+Arial" w:hAnsi="ANCPGK+Arial" w:cs="ANCPGK+Arial"/>
          <w:b/>
          <w:bCs/>
          <w:color w:val="000000"/>
          <w:sz w:val="20"/>
        </w:rPr>
        <w:tab/>
      </w:r>
      <w:r>
        <w:rPr>
          <w:rFonts w:ascii="ANCPGK+Arial" w:eastAsia="ANCPGK+Arial" w:hAnsi="ANCPGK+Arial" w:cs="ANCPGK+Arial"/>
          <w:b/>
          <w:bCs/>
          <w:color w:val="000000"/>
          <w:sz w:val="20"/>
        </w:rPr>
        <w:tab/>
      </w:r>
      <w:r>
        <w:rPr>
          <w:rFonts w:ascii="ANCPGK+Arial" w:eastAsia="ANCPGK+Arial" w:hAnsi="ANCPGK+Arial" w:cs="ANCPGK+Arial"/>
          <w:b/>
          <w:bCs/>
          <w:color w:val="000000"/>
          <w:sz w:val="20"/>
        </w:rPr>
        <w:tab/>
      </w:r>
      <w:r>
        <w:rPr>
          <w:rFonts w:ascii="ANCPGK+Arial" w:eastAsia="ANCPGK+Arial" w:hAnsi="ANCPGK+Arial" w:cs="ANCPGK+Arial"/>
          <w:b/>
          <w:bCs/>
          <w:color w:val="000000"/>
          <w:sz w:val="20"/>
        </w:rPr>
        <w:tab/>
      </w:r>
      <w:r>
        <w:rPr>
          <w:rFonts w:ascii="ANCPGK+Arial" w:eastAsia="ANCPGK+Arial" w:hAnsi="ANCPGK+Arial" w:cs="ANCPGK+Arial"/>
          <w:b/>
          <w:bCs/>
          <w:color w:val="000000"/>
          <w:sz w:val="20"/>
        </w:rPr>
        <w:tab/>
        <w:t xml:space="preserve">               Hrvatska udruga banaka</w:t>
      </w:r>
      <w:r>
        <w:rPr>
          <w:rFonts w:ascii="ANCPGK+Arial" w:eastAsia="ANCPGK+Arial" w:hAnsi="ANCPGK+Arial" w:cs="ANCPGK+Arial"/>
          <w:b/>
          <w:bCs/>
          <w:color w:val="000000"/>
          <w:sz w:val="20"/>
        </w:rPr>
        <w:br/>
      </w:r>
      <w:r>
        <w:rPr>
          <w:rFonts w:ascii="ANCPGK+Arial" w:eastAsia="ANCPGK+Arial" w:hAnsi="ANCPGK+Arial" w:cs="ANCPGK+Arial"/>
          <w:b/>
          <w:color w:val="0000FF"/>
          <w:sz w:val="20"/>
          <w:lang w:val="hr-HR"/>
        </w:rPr>
        <w:t xml:space="preserve">www.forexcroatia.hr </w:t>
      </w:r>
      <w:r>
        <w:rPr>
          <w:rFonts w:ascii="ANCPGK+Arial" w:eastAsia="ANCPGK+Arial" w:hAnsi="ANCPGK+Arial" w:cs="ANCPGK+Arial"/>
          <w:b/>
          <w:color w:val="0000FF"/>
          <w:sz w:val="20"/>
          <w:lang w:val="hr-HR"/>
        </w:rPr>
        <w:tab/>
      </w:r>
      <w:r>
        <w:rPr>
          <w:rFonts w:ascii="ANCPGK+Arial" w:eastAsia="ANCPGK+Arial" w:hAnsi="ANCPGK+Arial" w:cs="ANCPGK+Arial"/>
          <w:b/>
          <w:color w:val="0000FF"/>
          <w:sz w:val="20"/>
          <w:lang w:val="hr-HR"/>
        </w:rPr>
        <w:tab/>
      </w:r>
      <w:r>
        <w:rPr>
          <w:rFonts w:ascii="ANCPGK+Arial" w:eastAsia="ANCPGK+Arial" w:hAnsi="ANCPGK+Arial" w:cs="ANCPGK+Arial"/>
          <w:b/>
          <w:color w:val="0000FF"/>
          <w:sz w:val="20"/>
          <w:lang w:val="hr-HR"/>
        </w:rPr>
        <w:tab/>
      </w:r>
      <w:r>
        <w:rPr>
          <w:rFonts w:ascii="ANCPGK+Arial" w:eastAsia="ANCPGK+Arial" w:hAnsi="ANCPGK+Arial" w:cs="ANCPGK+Arial"/>
          <w:b/>
          <w:color w:val="0000FF"/>
          <w:sz w:val="20"/>
          <w:lang w:val="hr-HR"/>
        </w:rPr>
        <w:tab/>
      </w:r>
      <w:r>
        <w:rPr>
          <w:rFonts w:ascii="ANCPGK+Arial" w:eastAsia="ANCPGK+Arial" w:hAnsi="ANCPGK+Arial" w:cs="ANCPGK+Arial"/>
          <w:b/>
          <w:color w:val="0000FF"/>
          <w:sz w:val="20"/>
          <w:lang w:val="hr-HR"/>
        </w:rPr>
        <w:tab/>
      </w:r>
      <w:r>
        <w:rPr>
          <w:rFonts w:ascii="ANCPGK+Arial" w:eastAsia="ANCPGK+Arial" w:hAnsi="ANCPGK+Arial" w:cs="ANCPGK+Arial"/>
          <w:b/>
          <w:color w:val="0000FF"/>
          <w:sz w:val="20"/>
          <w:lang w:val="hr-HR"/>
        </w:rPr>
        <w:tab/>
      </w:r>
      <w:r>
        <w:rPr>
          <w:rFonts w:ascii="ANCPGK+Arial" w:eastAsia="ANCPGK+Arial" w:hAnsi="ANCPGK+Arial" w:cs="ANCPGK+Arial"/>
          <w:b/>
          <w:color w:val="0000FF"/>
          <w:sz w:val="20"/>
          <w:lang w:val="hr-HR"/>
        </w:rPr>
        <w:tab/>
      </w:r>
      <w:r>
        <w:rPr>
          <w:rFonts w:ascii="ANCPGK+Arial" w:eastAsia="ANCPGK+Arial" w:hAnsi="ANCPGK+Arial" w:cs="ANCPGK+Arial"/>
          <w:b/>
          <w:color w:val="0000FF"/>
          <w:sz w:val="20"/>
          <w:lang w:val="hr-HR"/>
        </w:rPr>
        <w:tab/>
      </w:r>
      <w:r>
        <w:rPr>
          <w:rFonts w:ascii="ANCPGK+Arial" w:eastAsia="ANCPGK+Arial" w:hAnsi="ANCPGK+Arial" w:cs="ANCPGK+Arial"/>
          <w:b/>
          <w:color w:val="0000FF"/>
          <w:sz w:val="20"/>
          <w:lang w:val="hr-HR"/>
        </w:rPr>
        <w:tab/>
        <w:t xml:space="preserve">    www.hub.hr</w:t>
      </w:r>
      <w:r>
        <w:rPr>
          <w:rFonts w:ascii="ANCPGK+Arial" w:eastAsia="ANCPGK+Arial" w:hAnsi="ANCPGK+Arial" w:cs="ANCPGK+Arial"/>
          <w:b/>
          <w:color w:val="0000FF"/>
          <w:sz w:val="20"/>
          <w:lang w:val="hr-HR"/>
        </w:rPr>
        <w:tab/>
      </w:r>
      <w:r>
        <w:rPr>
          <w:rFonts w:ascii="ANCPGK+Arial" w:eastAsia="ANCPGK+Arial" w:hAnsi="ANCPGK+Arial" w:cs="ANCPGK+Arial"/>
          <w:b/>
          <w:color w:val="0000FF"/>
          <w:sz w:val="20"/>
          <w:lang w:val="hr-HR"/>
        </w:rPr>
        <w:tab/>
      </w:r>
      <w:r>
        <w:rPr>
          <w:rFonts w:ascii="ANCPGK+Arial" w:eastAsia="ANCPGK+Arial" w:hAnsi="ANCPGK+Arial" w:cs="ANCPGK+Arial"/>
          <w:b/>
          <w:color w:val="0000FF"/>
          <w:sz w:val="20"/>
          <w:lang w:val="hr-HR"/>
        </w:rPr>
        <w:tab/>
      </w:r>
      <w:r>
        <w:rPr>
          <w:rFonts w:ascii="ANCPGK+Arial" w:eastAsia="ANCPGK+Arial" w:hAnsi="ANCPGK+Arial" w:cs="ANCPGK+Arial"/>
          <w:b/>
          <w:color w:val="0000FF"/>
          <w:sz w:val="20"/>
          <w:lang w:val="hr-HR"/>
        </w:rPr>
        <w:tab/>
      </w:r>
      <w:r>
        <w:rPr>
          <w:rFonts w:ascii="ANCPGK+Arial" w:eastAsia="ANCPGK+Arial" w:hAnsi="ANCPGK+Arial" w:cs="ANCPGK+Arial"/>
          <w:b/>
          <w:color w:val="0000FF"/>
          <w:sz w:val="20"/>
          <w:lang w:val="hr-HR"/>
        </w:rPr>
        <w:tab/>
      </w:r>
      <w:r>
        <w:rPr>
          <w:rFonts w:ascii="ANCPGK+Arial" w:eastAsia="ANCPGK+Arial" w:hAnsi="ANCPGK+Arial" w:cs="ANCPGK+Arial"/>
          <w:b/>
          <w:color w:val="0000FF"/>
          <w:sz w:val="20"/>
          <w:lang w:val="hr-HR"/>
        </w:rPr>
        <w:tab/>
      </w:r>
      <w:r>
        <w:rPr>
          <w:rFonts w:ascii="ANCPGK+Arial" w:eastAsia="ANCPGK+Arial" w:hAnsi="ANCPGK+Arial" w:cs="ANCPGK+Arial"/>
          <w:b/>
          <w:color w:val="0000FF"/>
          <w:sz w:val="20"/>
          <w:lang w:val="hr-HR"/>
        </w:rPr>
        <w:tab/>
      </w:r>
      <w:r>
        <w:rPr>
          <w:rFonts w:ascii="ANCPGK+Arial" w:eastAsia="ANCPGK+Arial" w:hAnsi="ANCPGK+Arial" w:cs="ANCPGK+Arial"/>
          <w:b/>
          <w:color w:val="0000FF"/>
          <w:sz w:val="20"/>
          <w:lang w:val="hr-HR"/>
        </w:rPr>
        <w:tab/>
      </w:r>
      <w:r>
        <w:rPr>
          <w:rFonts w:ascii="ANCPGK+Arial" w:eastAsia="ANCPGK+Arial" w:hAnsi="ANCPGK+Arial" w:cs="ANCPGK+Arial"/>
          <w:b/>
          <w:color w:val="0000FF"/>
          <w:sz w:val="20"/>
          <w:lang w:val="hr-HR"/>
        </w:rPr>
        <w:tab/>
        <w:t xml:space="preserve">       </w:t>
      </w:r>
    </w:p>
    <w:p w14:paraId="1C2BCB76" w14:textId="77777777" w:rsidR="00D533E7" w:rsidRPr="00EA7A83" w:rsidRDefault="00D533E7" w:rsidP="00D533E7">
      <w:pPr>
        <w:ind w:right="68"/>
        <w:jc w:val="right"/>
        <w:rPr>
          <w:b/>
          <w:sz w:val="22"/>
          <w:szCs w:val="22"/>
          <w:lang w:val="hr-HR"/>
        </w:rPr>
      </w:pPr>
      <w:r w:rsidRPr="00A92986">
        <w:rPr>
          <w:b/>
          <w:sz w:val="22"/>
          <w:szCs w:val="22"/>
          <w:lang w:val="hr-HR"/>
        </w:rPr>
        <w:t>VERZIJA 2023 euro</w:t>
      </w:r>
    </w:p>
    <w:p w14:paraId="5024C519" w14:textId="77777777" w:rsidR="00383D69" w:rsidRDefault="00383D69">
      <w:pPr>
        <w:spacing w:line="192" w:lineRule="exact"/>
        <w:ind w:right="70"/>
        <w:jc w:val="both"/>
        <w:rPr>
          <w:b/>
          <w:sz w:val="22"/>
          <w:szCs w:val="22"/>
          <w:lang w:val="hr-HR"/>
        </w:rPr>
      </w:pPr>
    </w:p>
    <w:p w14:paraId="2DAA29EC" w14:textId="77777777" w:rsidR="00383D69" w:rsidRDefault="00383D69">
      <w:pPr>
        <w:pStyle w:val="Heading1"/>
        <w:pBdr>
          <w:top w:val="single" w:sz="4" w:space="2" w:color="000000"/>
          <w:left w:val="single" w:sz="4" w:space="0" w:color="000000"/>
          <w:bottom w:val="single" w:sz="4" w:space="11" w:color="000000"/>
          <w:right w:val="single" w:sz="4" w:space="0" w:color="000000"/>
        </w:pBdr>
        <w:shd w:val="clear" w:color="auto" w:fill="auto"/>
        <w:ind w:left="6480"/>
        <w:jc w:val="both"/>
        <w:rPr>
          <w:szCs w:val="22"/>
          <w:u w:val="none"/>
          <w:lang w:val="hr-HR"/>
        </w:rPr>
      </w:pPr>
      <w:r>
        <w:rPr>
          <w:szCs w:val="22"/>
          <w:u w:val="none"/>
          <w:lang w:val="hr-HR"/>
        </w:rPr>
        <w:t xml:space="preserve">Okvirni ugovor i Aneks I od </w:t>
      </w:r>
    </w:p>
    <w:p w14:paraId="74171467" w14:textId="77777777" w:rsidR="00383D69" w:rsidRDefault="00383D69">
      <w:pPr>
        <w:pStyle w:val="Heading1"/>
        <w:pBdr>
          <w:top w:val="single" w:sz="4" w:space="2" w:color="000000"/>
          <w:left w:val="single" w:sz="4" w:space="0" w:color="000000"/>
          <w:bottom w:val="single" w:sz="4" w:space="11" w:color="000000"/>
          <w:right w:val="single" w:sz="4" w:space="0" w:color="000000"/>
        </w:pBdr>
        <w:shd w:val="clear" w:color="auto" w:fill="auto"/>
        <w:ind w:left="6480"/>
        <w:rPr>
          <w:szCs w:val="22"/>
          <w:lang w:val="hr-HR"/>
        </w:rPr>
      </w:pPr>
    </w:p>
    <w:p w14:paraId="3476B32C" w14:textId="24AAC5FC" w:rsidR="00383D69" w:rsidRDefault="00570622">
      <w:pPr>
        <w:pStyle w:val="Heading1"/>
        <w:pBdr>
          <w:top w:val="single" w:sz="4" w:space="2" w:color="000000"/>
          <w:left w:val="single" w:sz="4" w:space="0" w:color="000000"/>
          <w:bottom w:val="single" w:sz="4" w:space="11" w:color="000000"/>
          <w:right w:val="single" w:sz="4" w:space="0" w:color="000000"/>
        </w:pBdr>
        <w:shd w:val="clear" w:color="auto" w:fill="auto"/>
        <w:ind w:left="6480"/>
        <w:rPr>
          <w:szCs w:val="22"/>
          <w:u w:val="none"/>
          <w:lang w:val="hr-HR"/>
        </w:rPr>
      </w:pPr>
      <w:r>
        <w:rPr>
          <w:noProof/>
        </w:rPr>
        <mc:AlternateContent>
          <mc:Choice Requires="wps">
            <w:drawing>
              <wp:anchor distT="0" distB="0" distL="114300" distR="114300" simplePos="0" relativeHeight="251656704" behindDoc="0" locked="0" layoutInCell="1" allowOverlap="1" wp14:anchorId="5E57C0CE" wp14:editId="5867E436">
                <wp:simplePos x="0" y="0"/>
                <wp:positionH relativeFrom="column">
                  <wp:posOffset>4122420</wp:posOffset>
                </wp:positionH>
                <wp:positionV relativeFrom="paragraph">
                  <wp:posOffset>22860</wp:posOffset>
                </wp:positionV>
                <wp:extent cx="2377440" cy="0"/>
                <wp:effectExtent l="5080" t="5715" r="8255"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74BA27"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6pt,1.8pt" to="51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" strokeweight=".26mm">
                <v:stroke joinstyle="miter"/>
              </v:line>
            </w:pict>
          </mc:Fallback>
        </mc:AlternateContent>
      </w:r>
    </w:p>
    <w:p w14:paraId="48C46D49" w14:textId="77777777" w:rsidR="00383D69" w:rsidRDefault="00383D69">
      <w:pPr>
        <w:pStyle w:val="Heading1"/>
        <w:pBdr>
          <w:top w:val="single" w:sz="4" w:space="2" w:color="000000"/>
          <w:left w:val="single" w:sz="4" w:space="0" w:color="000000"/>
          <w:bottom w:val="single" w:sz="4" w:space="11" w:color="000000"/>
          <w:right w:val="single" w:sz="4" w:space="0" w:color="000000"/>
        </w:pBdr>
        <w:shd w:val="clear" w:color="auto" w:fill="auto"/>
        <w:ind w:left="6480"/>
        <w:rPr>
          <w:szCs w:val="22"/>
          <w:u w:val="none"/>
          <w:lang w:val="hr-HR"/>
        </w:rPr>
      </w:pPr>
      <w:r>
        <w:rPr>
          <w:szCs w:val="22"/>
          <w:u w:val="none"/>
          <w:lang w:val="hr-HR"/>
        </w:rPr>
        <w:t xml:space="preserve">Dodatak Okvirnom ugovoru od </w:t>
      </w:r>
    </w:p>
    <w:p w14:paraId="32A15C3E" w14:textId="77777777" w:rsidR="00383D69" w:rsidRDefault="00383D69">
      <w:pPr>
        <w:pStyle w:val="Heading1"/>
        <w:pBdr>
          <w:top w:val="single" w:sz="4" w:space="2" w:color="000000"/>
          <w:left w:val="single" w:sz="4" w:space="0" w:color="000000"/>
          <w:bottom w:val="single" w:sz="4" w:space="11" w:color="000000"/>
          <w:right w:val="single" w:sz="4" w:space="0" w:color="000000"/>
        </w:pBdr>
        <w:shd w:val="clear" w:color="auto" w:fill="auto"/>
        <w:ind w:left="6480"/>
        <w:rPr>
          <w:b w:val="0"/>
          <w:szCs w:val="22"/>
          <w:lang w:val="hr-HR"/>
        </w:rPr>
      </w:pPr>
      <w:r>
        <w:rPr>
          <w:b w:val="0"/>
          <w:szCs w:val="22"/>
          <w:lang w:val="hr-HR"/>
        </w:rPr>
        <w:tab/>
      </w:r>
      <w:r>
        <w:rPr>
          <w:b w:val="0"/>
          <w:szCs w:val="22"/>
          <w:lang w:val="hr-HR"/>
        </w:rPr>
        <w:tab/>
      </w:r>
      <w:r>
        <w:rPr>
          <w:b w:val="0"/>
          <w:szCs w:val="22"/>
          <w:lang w:val="hr-HR"/>
        </w:rPr>
        <w:tab/>
      </w:r>
    </w:p>
    <w:p w14:paraId="735C7E60" w14:textId="77777777" w:rsidR="00383D69" w:rsidRDefault="00383D69">
      <w:pPr>
        <w:spacing w:line="192" w:lineRule="exact"/>
        <w:ind w:right="70"/>
        <w:jc w:val="both"/>
        <w:rPr>
          <w:b/>
          <w:sz w:val="22"/>
          <w:szCs w:val="22"/>
          <w:lang w:val="hr-HR"/>
        </w:rPr>
      </w:pPr>
    </w:p>
    <w:p w14:paraId="3E69307F" w14:textId="77777777" w:rsidR="00383D69" w:rsidRDefault="00383D69">
      <w:pPr>
        <w:spacing w:line="192" w:lineRule="exact"/>
        <w:ind w:right="70"/>
        <w:jc w:val="both"/>
        <w:rPr>
          <w:b/>
          <w:sz w:val="22"/>
          <w:szCs w:val="22"/>
          <w:lang w:val="hr-HR"/>
        </w:rPr>
      </w:pPr>
      <w:r>
        <w:rPr>
          <w:b/>
          <w:sz w:val="22"/>
          <w:szCs w:val="22"/>
          <w:lang w:val="hr-HR"/>
        </w:rPr>
        <w:t>Dodatak o osiguranju gore navedenom Okvirnom ugovoru za transakcije izvedenim financijskim instrumentima (”Okvirni ugovor”)</w:t>
      </w:r>
    </w:p>
    <w:p w14:paraId="64764948" w14:textId="77777777" w:rsidR="00383D69" w:rsidRDefault="00383D69">
      <w:pPr>
        <w:spacing w:line="192" w:lineRule="exact"/>
        <w:jc w:val="both"/>
        <w:rPr>
          <w:sz w:val="22"/>
          <w:szCs w:val="22"/>
          <w:lang w:val="hr-HR"/>
        </w:rPr>
      </w:pPr>
    </w:p>
    <w:p w14:paraId="28E6447F" w14:textId="77777777" w:rsidR="00383D69" w:rsidRDefault="00383D69">
      <w:pPr>
        <w:spacing w:line="192" w:lineRule="exact"/>
        <w:jc w:val="both"/>
        <w:rPr>
          <w:sz w:val="22"/>
          <w:szCs w:val="22"/>
          <w:lang w:val="hr-HR"/>
        </w:rPr>
      </w:pPr>
      <w:r>
        <w:rPr>
          <w:sz w:val="22"/>
          <w:szCs w:val="22"/>
          <w:lang w:val="hr-HR"/>
        </w:rPr>
        <w:t>između</w:t>
      </w:r>
    </w:p>
    <w:p w14:paraId="24DE80D9" w14:textId="77777777" w:rsidR="00383D69" w:rsidRDefault="00383D69">
      <w:pPr>
        <w:pBdr>
          <w:top w:val="single" w:sz="4" w:space="1" w:color="000000"/>
          <w:left w:val="single" w:sz="4" w:space="4" w:color="000000"/>
          <w:bottom w:val="single" w:sz="4" w:space="1" w:color="000000"/>
          <w:right w:val="single" w:sz="4" w:space="4" w:color="000000"/>
        </w:pBdr>
        <w:spacing w:line="192" w:lineRule="exact"/>
        <w:jc w:val="both"/>
        <w:rPr>
          <w:b/>
          <w:sz w:val="22"/>
          <w:szCs w:val="22"/>
          <w:lang w:val="hr-HR"/>
        </w:rPr>
      </w:pPr>
    </w:p>
    <w:p w14:paraId="0701CDF7" w14:textId="77777777" w:rsidR="00383D69" w:rsidRDefault="00383D69">
      <w:pPr>
        <w:pBdr>
          <w:top w:val="single" w:sz="4" w:space="1" w:color="000000"/>
          <w:left w:val="single" w:sz="4" w:space="4" w:color="000000"/>
          <w:bottom w:val="single" w:sz="4" w:space="1" w:color="000000"/>
          <w:right w:val="single" w:sz="4" w:space="4" w:color="000000"/>
        </w:pBdr>
        <w:spacing w:line="192" w:lineRule="exact"/>
        <w:jc w:val="both"/>
        <w:rPr>
          <w:b/>
          <w:sz w:val="22"/>
          <w:szCs w:val="22"/>
          <w:lang w:val="hr-HR"/>
        </w:rPr>
      </w:pPr>
    </w:p>
    <w:p w14:paraId="6B473AFE" w14:textId="77777777" w:rsidR="00383D69" w:rsidRDefault="00383D69">
      <w:pPr>
        <w:pBdr>
          <w:top w:val="single" w:sz="4" w:space="1" w:color="000000"/>
          <w:left w:val="single" w:sz="4" w:space="4" w:color="000000"/>
          <w:bottom w:val="single" w:sz="4" w:space="1" w:color="000000"/>
          <w:right w:val="single" w:sz="4" w:space="4" w:color="000000"/>
        </w:pBdr>
        <w:spacing w:line="192" w:lineRule="exact"/>
        <w:jc w:val="both"/>
        <w:rPr>
          <w:b/>
          <w:sz w:val="22"/>
          <w:szCs w:val="22"/>
          <w:lang w:val="hr-HR"/>
        </w:rPr>
      </w:pPr>
    </w:p>
    <w:p w14:paraId="26AF204E" w14:textId="77777777" w:rsidR="00383D69" w:rsidRDefault="00383D69">
      <w:pPr>
        <w:pBdr>
          <w:top w:val="single" w:sz="4" w:space="1" w:color="000000"/>
          <w:left w:val="single" w:sz="4" w:space="4" w:color="000000"/>
          <w:bottom w:val="single" w:sz="4" w:space="1" w:color="000000"/>
          <w:right w:val="single" w:sz="4" w:space="4" w:color="000000"/>
        </w:pBdr>
        <w:spacing w:line="192" w:lineRule="exact"/>
        <w:jc w:val="both"/>
        <w:rPr>
          <w:sz w:val="22"/>
          <w:szCs w:val="22"/>
          <w:lang w:val="hr-HR"/>
        </w:rPr>
      </w:pPr>
      <w:r>
        <w:rPr>
          <w:b/>
          <w:sz w:val="22"/>
          <w:szCs w:val="22"/>
          <w:lang w:val="hr-HR"/>
        </w:rPr>
        <w:tab/>
      </w:r>
      <w:r>
        <w:rPr>
          <w:b/>
          <w:sz w:val="22"/>
          <w:szCs w:val="22"/>
          <w:lang w:val="hr-HR"/>
        </w:rPr>
        <w:tab/>
      </w:r>
      <w:r>
        <w:rPr>
          <w:b/>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t>(u daljnjem tekstu: „Strana A“)</w:t>
      </w:r>
    </w:p>
    <w:p w14:paraId="277717E5" w14:textId="77777777" w:rsidR="00383D69" w:rsidRDefault="00383D69">
      <w:pPr>
        <w:spacing w:line="192" w:lineRule="exact"/>
        <w:jc w:val="both"/>
        <w:rPr>
          <w:sz w:val="22"/>
          <w:szCs w:val="22"/>
          <w:lang w:val="hr-HR"/>
        </w:rPr>
      </w:pPr>
      <w:r>
        <w:rPr>
          <w:sz w:val="22"/>
          <w:szCs w:val="22"/>
          <w:lang w:val="hr-HR"/>
        </w:rPr>
        <w:t>i</w:t>
      </w:r>
    </w:p>
    <w:p w14:paraId="1EDC7194" w14:textId="77777777" w:rsidR="00383D69" w:rsidRDefault="00383D69">
      <w:pPr>
        <w:pBdr>
          <w:top w:val="single" w:sz="4" w:space="1" w:color="000000"/>
          <w:left w:val="single" w:sz="4" w:space="4" w:color="000000"/>
          <w:bottom w:val="single" w:sz="4" w:space="1" w:color="000000"/>
          <w:right w:val="single" w:sz="4" w:space="4" w:color="000000"/>
        </w:pBdr>
        <w:spacing w:line="192" w:lineRule="exact"/>
        <w:jc w:val="both"/>
        <w:rPr>
          <w:b/>
          <w:sz w:val="22"/>
          <w:szCs w:val="22"/>
          <w:lang w:val="hr-HR"/>
        </w:rPr>
      </w:pPr>
    </w:p>
    <w:p w14:paraId="09FDF5E3" w14:textId="77777777" w:rsidR="00383D69" w:rsidRDefault="00383D69">
      <w:pPr>
        <w:pBdr>
          <w:top w:val="single" w:sz="4" w:space="1" w:color="000000"/>
          <w:left w:val="single" w:sz="4" w:space="4" w:color="000000"/>
          <w:bottom w:val="single" w:sz="4" w:space="1" w:color="000000"/>
          <w:right w:val="single" w:sz="4" w:space="4" w:color="000000"/>
        </w:pBdr>
        <w:spacing w:line="192" w:lineRule="exact"/>
        <w:jc w:val="both"/>
        <w:rPr>
          <w:b/>
          <w:sz w:val="22"/>
          <w:szCs w:val="22"/>
          <w:lang w:val="hr-HR"/>
        </w:rPr>
      </w:pPr>
    </w:p>
    <w:p w14:paraId="6ECEC500" w14:textId="77777777" w:rsidR="00383D69" w:rsidRDefault="00383D69">
      <w:pPr>
        <w:pBdr>
          <w:top w:val="single" w:sz="4" w:space="1" w:color="000000"/>
          <w:left w:val="single" w:sz="4" w:space="4" w:color="000000"/>
          <w:bottom w:val="single" w:sz="4" w:space="1" w:color="000000"/>
          <w:right w:val="single" w:sz="4" w:space="4" w:color="000000"/>
        </w:pBdr>
        <w:spacing w:line="192" w:lineRule="exact"/>
        <w:jc w:val="both"/>
        <w:rPr>
          <w:b/>
          <w:sz w:val="22"/>
          <w:szCs w:val="22"/>
          <w:lang w:val="hr-HR"/>
        </w:rPr>
      </w:pPr>
    </w:p>
    <w:p w14:paraId="0D689268" w14:textId="77777777" w:rsidR="00383D69" w:rsidRDefault="00383D69">
      <w:pPr>
        <w:pBdr>
          <w:top w:val="single" w:sz="4" w:space="1" w:color="000000"/>
          <w:left w:val="single" w:sz="4" w:space="4" w:color="000000"/>
          <w:bottom w:val="single" w:sz="4" w:space="1" w:color="000000"/>
          <w:right w:val="single" w:sz="4" w:space="4" w:color="000000"/>
        </w:pBdr>
        <w:spacing w:line="192" w:lineRule="exact"/>
        <w:jc w:val="both"/>
        <w:rPr>
          <w:sz w:val="22"/>
          <w:szCs w:val="22"/>
          <w:lang w:val="hr-HR"/>
        </w:rPr>
        <w:sectPr w:rsidR="00383D69">
          <w:headerReference w:type="default" r:id="rId10"/>
          <w:footerReference w:type="default" r:id="rId11"/>
          <w:pgSz w:w="11906" w:h="16838"/>
          <w:pgMar w:top="910" w:right="851" w:bottom="680" w:left="851" w:header="680" w:footer="516" w:gutter="0"/>
          <w:cols w:space="708"/>
          <w:docGrid w:linePitch="360"/>
        </w:sectPr>
      </w:pPr>
      <w:r>
        <w:rPr>
          <w:b/>
          <w:sz w:val="22"/>
          <w:szCs w:val="22"/>
          <w:lang w:val="hr-HR"/>
        </w:rPr>
        <w:tab/>
      </w:r>
      <w:r>
        <w:rPr>
          <w:b/>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t>(u daljnjem tekstu: („Strana B“)</w:t>
      </w:r>
    </w:p>
    <w:p w14:paraId="7FC54791" w14:textId="77777777" w:rsidR="00383D69" w:rsidRDefault="00383D69">
      <w:pPr>
        <w:spacing w:line="192" w:lineRule="exact"/>
        <w:jc w:val="both"/>
        <w:rPr>
          <w:sz w:val="22"/>
          <w:szCs w:val="22"/>
          <w:lang w:val="hr-HR"/>
        </w:rPr>
      </w:pPr>
    </w:p>
    <w:p w14:paraId="4E5770D3" w14:textId="77777777" w:rsidR="00383D69" w:rsidRDefault="00383D69">
      <w:pPr>
        <w:spacing w:line="192" w:lineRule="exact"/>
        <w:jc w:val="both"/>
        <w:rPr>
          <w:sz w:val="22"/>
          <w:szCs w:val="22"/>
          <w:lang w:val="hr-HR"/>
        </w:rPr>
      </w:pPr>
    </w:p>
    <w:p w14:paraId="0B901EE7" w14:textId="77777777" w:rsidR="00383D69" w:rsidRDefault="00383D69">
      <w:pPr>
        <w:spacing w:line="192" w:lineRule="exact"/>
        <w:jc w:val="both"/>
        <w:rPr>
          <w:sz w:val="22"/>
          <w:szCs w:val="22"/>
          <w:lang w:val="hr-HR"/>
        </w:rPr>
      </w:pPr>
    </w:p>
    <w:p w14:paraId="32FE4C00" w14:textId="77777777" w:rsidR="00383D69" w:rsidRDefault="00383D69">
      <w:pPr>
        <w:sectPr w:rsidR="00383D69">
          <w:type w:val="continuous"/>
          <w:pgSz w:w="11906" w:h="16838"/>
          <w:pgMar w:top="910" w:right="851" w:bottom="680" w:left="851" w:header="680" w:footer="516" w:gutter="0"/>
          <w:cols w:num="2" w:space="720"/>
          <w:docGrid w:linePitch="360"/>
        </w:sectPr>
      </w:pPr>
    </w:p>
    <w:p w14:paraId="60B66BCC" w14:textId="77777777" w:rsidR="00383D69" w:rsidRDefault="00383D69">
      <w:pPr>
        <w:rPr>
          <w:b/>
          <w:sz w:val="22"/>
          <w:szCs w:val="22"/>
          <w:lang w:val="hr-HR"/>
        </w:rPr>
      </w:pPr>
    </w:p>
    <w:p w14:paraId="51525C1B" w14:textId="77777777" w:rsidR="00383D69" w:rsidRPr="00321ED7" w:rsidRDefault="00383D69">
      <w:pPr>
        <w:rPr>
          <w:b/>
          <w:sz w:val="20"/>
          <w:lang w:val="hr-HR"/>
        </w:rPr>
      </w:pPr>
      <w:r w:rsidRPr="00321ED7">
        <w:rPr>
          <w:b/>
          <w:sz w:val="20"/>
          <w:lang w:val="hr-HR"/>
        </w:rPr>
        <w:t>Uvod</w:t>
      </w:r>
    </w:p>
    <w:p w14:paraId="5FA46055" w14:textId="77777777" w:rsidR="00383D69" w:rsidRPr="00321ED7" w:rsidRDefault="00383D69">
      <w:pPr>
        <w:rPr>
          <w:b/>
          <w:sz w:val="20"/>
          <w:lang w:val="hr-HR"/>
        </w:rPr>
      </w:pPr>
    </w:p>
    <w:p w14:paraId="401085A1" w14:textId="77777777" w:rsidR="00383D69" w:rsidRPr="00321ED7" w:rsidRDefault="00383D69">
      <w:pPr>
        <w:jc w:val="both"/>
        <w:rPr>
          <w:sz w:val="20"/>
          <w:lang w:val="hr-HR"/>
        </w:rPr>
      </w:pPr>
      <w:r w:rsidRPr="00321ED7">
        <w:rPr>
          <w:rFonts w:cs="Arial"/>
          <w:sz w:val="20"/>
          <w:lang w:val="hr-HR"/>
        </w:rPr>
        <w:t>Ugovorne strane dopunjuju odredbe Okvirnog ugovora, Aneksa I</w:t>
      </w:r>
      <w:r w:rsidRPr="00321ED7">
        <w:rPr>
          <w:sz w:val="20"/>
          <w:lang w:val="hr-HR"/>
        </w:rPr>
        <w:t xml:space="preserve"> i svih eventualnih dodataka tom ugovoru, sklapanjem ovog Dodatka o osiguranju (dalje u tekstu: Dodatak).</w:t>
      </w:r>
    </w:p>
    <w:p w14:paraId="54E348C7" w14:textId="77777777" w:rsidR="00383D69" w:rsidRPr="00321ED7" w:rsidRDefault="00383D69">
      <w:pPr>
        <w:rPr>
          <w:b/>
          <w:sz w:val="20"/>
          <w:lang w:val="hr-HR"/>
        </w:rPr>
      </w:pPr>
    </w:p>
    <w:p w14:paraId="2E6BEB96" w14:textId="77777777" w:rsidR="00383D69" w:rsidRPr="00321ED7" w:rsidRDefault="00383D69">
      <w:pPr>
        <w:rPr>
          <w:b/>
          <w:sz w:val="20"/>
          <w:lang w:val="hr-HR"/>
        </w:rPr>
      </w:pPr>
      <w:r w:rsidRPr="00321ED7">
        <w:rPr>
          <w:b/>
          <w:sz w:val="20"/>
          <w:lang w:val="hr-HR"/>
        </w:rPr>
        <w:t xml:space="preserve">1. Svrha i predmet ovog Dodatka </w:t>
      </w:r>
    </w:p>
    <w:p w14:paraId="7D39A58A" w14:textId="77777777" w:rsidR="00383D69" w:rsidRPr="00321ED7" w:rsidRDefault="00383D69">
      <w:pPr>
        <w:ind w:left="993"/>
        <w:jc w:val="both"/>
        <w:rPr>
          <w:sz w:val="20"/>
          <w:u w:val="single"/>
          <w:lang w:val="hr-HR"/>
        </w:rPr>
      </w:pPr>
    </w:p>
    <w:p w14:paraId="2790AD59" w14:textId="77777777" w:rsidR="00383D69" w:rsidRPr="00321ED7" w:rsidRDefault="00383D69">
      <w:pPr>
        <w:pStyle w:val="BodyText2"/>
        <w:ind w:left="0" w:firstLine="0"/>
        <w:jc w:val="both"/>
        <w:rPr>
          <w:lang w:val="hr-HR"/>
        </w:rPr>
      </w:pPr>
      <w:r w:rsidRPr="00321ED7">
        <w:rPr>
          <w:lang w:val="hr-HR"/>
        </w:rPr>
        <w:t xml:space="preserve">(1) Osim o odredbama Okvirnog ugovora ugovorne strane sporazumjele su se da će jedna drugoj prenositi Instrumente osiguranja sukladno odredbama ovog Dodatka. Instrumenti osiguranja služit će u svrhu osiguranja svih potraživanja primatelja takvih instrumenata osiguranja (“Osigurana strana”) prema drugoj ugovornoj strani (“Davatelj osiguranja”) u svezi s Ugovorom, bez obzir da li se radi o postojećim ili budućim potraživanjima, ili pak potraživanjima s uvjetom ili rokom. To neće imati utjecaja na odredbe članka 9. Okvirnog ugovora. </w:t>
      </w:r>
    </w:p>
    <w:p w14:paraId="7456FFE1" w14:textId="77777777" w:rsidR="00383D69" w:rsidRPr="00321ED7" w:rsidRDefault="00383D69">
      <w:pPr>
        <w:tabs>
          <w:tab w:val="left" w:pos="709"/>
        </w:tabs>
        <w:jc w:val="both"/>
        <w:rPr>
          <w:sz w:val="20"/>
          <w:lang w:val="hr-HR"/>
        </w:rPr>
      </w:pPr>
    </w:p>
    <w:p w14:paraId="48A33EB1" w14:textId="77777777" w:rsidR="00383D69" w:rsidRPr="00321ED7" w:rsidRDefault="00383D69">
      <w:pPr>
        <w:tabs>
          <w:tab w:val="left" w:pos="709"/>
        </w:tabs>
        <w:jc w:val="both"/>
        <w:rPr>
          <w:sz w:val="20"/>
          <w:lang w:val="hr-HR"/>
        </w:rPr>
      </w:pPr>
      <w:r w:rsidRPr="00321ED7">
        <w:rPr>
          <w:sz w:val="20"/>
          <w:lang w:val="hr-HR"/>
        </w:rPr>
        <w:t>(2) Prijenosom Instrumenta osiguranja u skladu s odredbama ovog Dodatka Osigurana strana stječe vlasništvo nad tim Instrumentom osiguranja u smislu članka 6. Zakona o financijskom osiguranju (osiguranje prijenosom instrumenta osiguranja). Ako je za prijenos Instrumenta osiguranja mjerodavno strano pravo, Davatelj osiguranja dužan je osigurati da Osigurana strana stekne vlasništvo nad Instrumentom osiguranja. Ako stjecanje vlasništva nad Instrumentom osiguranja nije moguće prema mjerodavnom pravu, Davatelj osiguranja osigurat će Osiguranoj strani poziciju koja je pravno najsličnija poziciji u kojoj bi Osigurana strana bila da je stjecanje vlasništva nad Instrumentom osiguranja bilo moguće. Osigurana strana može raspolagati prenesenim Instrumentom osiguranja bez ograničenja.</w:t>
      </w:r>
    </w:p>
    <w:p w14:paraId="39A8F221" w14:textId="77777777" w:rsidR="00383D69" w:rsidRPr="00321ED7" w:rsidRDefault="00383D69">
      <w:pPr>
        <w:tabs>
          <w:tab w:val="left" w:pos="709"/>
        </w:tabs>
        <w:ind w:left="993"/>
        <w:jc w:val="both"/>
        <w:rPr>
          <w:sz w:val="20"/>
          <w:lang w:val="hr-HR"/>
        </w:rPr>
      </w:pPr>
    </w:p>
    <w:p w14:paraId="215DB00F" w14:textId="77777777" w:rsidR="00383D69" w:rsidRPr="00321ED7" w:rsidRDefault="00383D69">
      <w:pPr>
        <w:tabs>
          <w:tab w:val="left" w:pos="709"/>
        </w:tabs>
        <w:ind w:left="993" w:hanging="993"/>
        <w:jc w:val="both"/>
        <w:rPr>
          <w:b/>
          <w:sz w:val="20"/>
          <w:lang w:val="hr-HR"/>
        </w:rPr>
      </w:pPr>
      <w:r w:rsidRPr="00321ED7">
        <w:rPr>
          <w:b/>
          <w:sz w:val="20"/>
          <w:lang w:val="hr-HR"/>
        </w:rPr>
        <w:t>2. Definicije</w:t>
      </w:r>
    </w:p>
    <w:p w14:paraId="223801A6" w14:textId="77777777" w:rsidR="00383D69" w:rsidRPr="00321ED7" w:rsidRDefault="00383D69">
      <w:pPr>
        <w:tabs>
          <w:tab w:val="left" w:pos="709"/>
        </w:tabs>
        <w:ind w:left="993" w:hanging="993"/>
        <w:jc w:val="both"/>
        <w:rPr>
          <w:b/>
          <w:sz w:val="20"/>
          <w:lang w:val="hr-HR"/>
        </w:rPr>
      </w:pPr>
    </w:p>
    <w:p w14:paraId="59A3FABF" w14:textId="77777777" w:rsidR="00383D69" w:rsidRPr="00321ED7" w:rsidRDefault="00383D69">
      <w:pPr>
        <w:jc w:val="both"/>
        <w:rPr>
          <w:sz w:val="20"/>
          <w:lang w:val="hr-HR"/>
        </w:rPr>
      </w:pPr>
      <w:r w:rsidRPr="00321ED7">
        <w:rPr>
          <w:sz w:val="20"/>
          <w:lang w:val="hr-HR"/>
        </w:rPr>
        <w:t>Za potrebe ovog Dodatka:</w:t>
      </w:r>
    </w:p>
    <w:p w14:paraId="02D74922" w14:textId="77777777" w:rsidR="00383D69" w:rsidRPr="00321ED7" w:rsidRDefault="00383D69">
      <w:pPr>
        <w:jc w:val="both"/>
        <w:rPr>
          <w:sz w:val="20"/>
          <w:lang w:val="hr-HR"/>
        </w:rPr>
      </w:pPr>
    </w:p>
    <w:p w14:paraId="181D455E" w14:textId="63C90318" w:rsidR="00383D69" w:rsidRPr="00321ED7" w:rsidRDefault="00383D69">
      <w:pPr>
        <w:jc w:val="both"/>
        <w:rPr>
          <w:sz w:val="20"/>
          <w:lang w:val="hr-HR"/>
        </w:rPr>
      </w:pPr>
      <w:r w:rsidRPr="00321ED7">
        <w:rPr>
          <w:sz w:val="20"/>
          <w:lang w:val="hr-HR"/>
        </w:rPr>
        <w:t>"</w:t>
      </w:r>
      <w:r w:rsidRPr="00321ED7">
        <w:rPr>
          <w:b/>
          <w:sz w:val="20"/>
          <w:lang w:val="hr-HR"/>
        </w:rPr>
        <w:t>Vrijednost</w:t>
      </w:r>
      <w:r w:rsidRPr="00321ED7">
        <w:rPr>
          <w:sz w:val="20"/>
          <w:lang w:val="hr-HR"/>
        </w:rPr>
        <w:t xml:space="preserve">", u slučaju Novca kao instrumenta osiguranja, označava nominalni iznos, a u slučaju Vrijednosnih papira kao instrumenta osiguranja, Tržišnu cijenu svih Vrijednosnih papira kao instrumenta osiguranja jedne ugovorne strane, u oba slučaja pomnoženu s dogovorenim omjerom pokrića koji je definiran u članku 12.(1) ovog Dodatka; </w:t>
      </w:r>
      <w:r w:rsidRPr="00321ED7">
        <w:rPr>
          <w:sz w:val="20"/>
          <w:lang w:val="hr-HR"/>
        </w:rPr>
        <w:lastRenderedPageBreak/>
        <w:t xml:space="preserve">članak 9. Okvirnog ugovora ostaje neizmijenjen, a svi iznosi koji nisu iskazani u </w:t>
      </w:r>
      <w:r w:rsidR="00781808" w:rsidRPr="00321ED7">
        <w:rPr>
          <w:sz w:val="20"/>
          <w:lang w:val="hr-HR"/>
        </w:rPr>
        <w:t>eurima</w:t>
      </w:r>
      <w:r w:rsidR="00EF63BE" w:rsidRPr="00321ED7">
        <w:rPr>
          <w:sz w:val="20"/>
          <w:lang w:val="hr-HR"/>
        </w:rPr>
        <w:t xml:space="preserve"> </w:t>
      </w:r>
      <w:r w:rsidRPr="00321ED7">
        <w:rPr>
          <w:sz w:val="20"/>
          <w:lang w:val="hr-HR"/>
        </w:rPr>
        <w:t xml:space="preserve">konvertiraju se u </w:t>
      </w:r>
      <w:r w:rsidR="00781808" w:rsidRPr="00321ED7">
        <w:rPr>
          <w:sz w:val="20"/>
          <w:lang w:val="hr-HR"/>
        </w:rPr>
        <w:t>eure</w:t>
      </w:r>
      <w:r w:rsidR="00EF63BE" w:rsidRPr="00321ED7">
        <w:rPr>
          <w:sz w:val="20"/>
          <w:lang w:val="hr-HR"/>
        </w:rPr>
        <w:t xml:space="preserve"> </w:t>
      </w:r>
      <w:r w:rsidRPr="00321ED7">
        <w:rPr>
          <w:sz w:val="20"/>
          <w:lang w:val="hr-HR"/>
        </w:rPr>
        <w:t xml:space="preserve">po srednjem tečaju Hrvatske narodne banke (HNB) na </w:t>
      </w:r>
      <w:r w:rsidR="00AC597C" w:rsidRPr="00321ED7">
        <w:rPr>
          <w:sz w:val="20"/>
          <w:lang w:val="hr-HR"/>
        </w:rPr>
        <w:t>d</w:t>
      </w:r>
      <w:r w:rsidRPr="00321ED7">
        <w:rPr>
          <w:sz w:val="20"/>
          <w:lang w:val="hr-HR"/>
        </w:rPr>
        <w:t>atum vrednovanja;</w:t>
      </w:r>
    </w:p>
    <w:p w14:paraId="35FADA7A" w14:textId="77777777" w:rsidR="00383D69" w:rsidRPr="00321ED7" w:rsidRDefault="00383D69">
      <w:pPr>
        <w:jc w:val="both"/>
        <w:rPr>
          <w:sz w:val="20"/>
          <w:lang w:val="hr-HR"/>
        </w:rPr>
      </w:pPr>
    </w:p>
    <w:p w14:paraId="739C550E" w14:textId="77777777" w:rsidR="00383D69" w:rsidRPr="00321ED7" w:rsidRDefault="00383D69">
      <w:pPr>
        <w:jc w:val="both"/>
        <w:rPr>
          <w:sz w:val="20"/>
          <w:lang w:val="hr-HR"/>
        </w:rPr>
      </w:pPr>
      <w:r w:rsidRPr="00321ED7">
        <w:rPr>
          <w:sz w:val="20"/>
          <w:lang w:val="hr-HR"/>
        </w:rPr>
        <w:t>“</w:t>
      </w:r>
      <w:r w:rsidRPr="00321ED7">
        <w:rPr>
          <w:b/>
          <w:sz w:val="20"/>
          <w:lang w:val="hr-HR"/>
        </w:rPr>
        <w:t>Izloženost</w:t>
      </w:r>
      <w:r w:rsidRPr="00321ED7">
        <w:rPr>
          <w:sz w:val="20"/>
          <w:lang w:val="hr-HR"/>
        </w:rPr>
        <w:t xml:space="preserve">” označava iznos jedinstvenog potraživanja koje bi proizašlo kao posljedica raskida svih Transakcija sukladno člancima 8. i 9. Okvirnog ugovora, utvrđen na određeni Datum vrednovanja u Vrijeme vrednovanja. Vrednovanje će se izvršiti u skladu s člankom 8. Okvirnog ugovora po Srednjoj cijeni. Ako je ugovorna strana za koju se utvrđuje Izloženost vjerovnik tog potraživanja, Izloženost će se uzeti kao pozitivan iznos kod izračunavanja Iznosa osiguranja, u suprotnom uzet će se kao negativan iznos. Instrumenti osiguranja preneseni u skladu s odredbama ovog Dodatka neće se uzeti u obzir kod izračunavanja Izloženosti; </w:t>
      </w:r>
    </w:p>
    <w:p w14:paraId="4F77F904" w14:textId="77777777" w:rsidR="00383D69" w:rsidRPr="00321ED7" w:rsidRDefault="00383D69">
      <w:pPr>
        <w:jc w:val="both"/>
        <w:rPr>
          <w:sz w:val="20"/>
          <w:lang w:val="hr-HR"/>
        </w:rPr>
      </w:pPr>
    </w:p>
    <w:p w14:paraId="4898DCE7" w14:textId="4F533805" w:rsidR="00383D69" w:rsidRPr="00321ED7" w:rsidRDefault="00383D69">
      <w:pPr>
        <w:jc w:val="both"/>
        <w:rPr>
          <w:sz w:val="20"/>
          <w:lang w:val="hr-HR"/>
        </w:rPr>
      </w:pPr>
      <w:r w:rsidRPr="00321ED7">
        <w:rPr>
          <w:rFonts w:cs="Arial"/>
          <w:sz w:val="20"/>
          <w:lang w:val="hr-HR"/>
        </w:rPr>
        <w:t>“</w:t>
      </w:r>
      <w:r w:rsidRPr="00321ED7">
        <w:rPr>
          <w:rFonts w:cs="Arial"/>
          <w:b/>
          <w:sz w:val="20"/>
          <w:lang w:val="hr-HR"/>
        </w:rPr>
        <w:t>Radni dan</w:t>
      </w:r>
      <w:r w:rsidRPr="00321ED7">
        <w:rPr>
          <w:rFonts w:cs="Arial"/>
          <w:sz w:val="20"/>
          <w:lang w:val="hr-HR"/>
        </w:rPr>
        <w:t xml:space="preserve">“ </w:t>
      </w:r>
      <w:r w:rsidRPr="00321ED7">
        <w:rPr>
          <w:sz w:val="20"/>
          <w:lang w:val="hr-HR"/>
        </w:rPr>
        <w:t xml:space="preserve">u smislu odredbi ovog Dodatka označava bilo koji dan kada su banke u Republici Hrvatskoj otvorene za obavljanje svojih poslova, a posebice za obavljanje poslova kupoprodaje stranih valuta te poslove primanja depozita u </w:t>
      </w:r>
      <w:r w:rsidR="00781808" w:rsidRPr="00321ED7">
        <w:rPr>
          <w:sz w:val="20"/>
          <w:lang w:val="hr-HR"/>
        </w:rPr>
        <w:t>eurima</w:t>
      </w:r>
      <w:r w:rsidR="00F9783C" w:rsidRPr="00321ED7">
        <w:rPr>
          <w:sz w:val="20"/>
          <w:lang w:val="hr-HR"/>
        </w:rPr>
        <w:t xml:space="preserve"> </w:t>
      </w:r>
      <w:r w:rsidRPr="00321ED7">
        <w:rPr>
          <w:sz w:val="20"/>
          <w:lang w:val="hr-HR"/>
        </w:rPr>
        <w:t>i/ili stranim valutama. Radnim danom neće se smatrati subote i nedjelje;</w:t>
      </w:r>
    </w:p>
    <w:p w14:paraId="2B5F6A94" w14:textId="77777777" w:rsidR="00383D69" w:rsidRPr="00321ED7" w:rsidRDefault="00383D69">
      <w:pPr>
        <w:jc w:val="both"/>
        <w:rPr>
          <w:sz w:val="20"/>
          <w:lang w:val="hr-HR"/>
        </w:rPr>
      </w:pPr>
    </w:p>
    <w:p w14:paraId="06886F62" w14:textId="4698E990" w:rsidR="00383D69" w:rsidRPr="00321ED7" w:rsidRDefault="00383D69">
      <w:pPr>
        <w:jc w:val="both"/>
        <w:rPr>
          <w:sz w:val="20"/>
          <w:lang w:val="hr-HR"/>
        </w:rPr>
      </w:pPr>
      <w:r w:rsidRPr="00321ED7">
        <w:rPr>
          <w:sz w:val="20"/>
          <w:lang w:val="hr-HR"/>
        </w:rPr>
        <w:t>"</w:t>
      </w:r>
      <w:r w:rsidRPr="00321ED7">
        <w:rPr>
          <w:b/>
          <w:sz w:val="20"/>
          <w:lang w:val="hr-HR"/>
        </w:rPr>
        <w:t>Novac kao instrument osiguranja</w:t>
      </w:r>
      <w:r w:rsidRPr="00321ED7">
        <w:rPr>
          <w:sz w:val="20"/>
          <w:lang w:val="hr-HR"/>
        </w:rPr>
        <w:t xml:space="preserve">" označava novčani iznos u </w:t>
      </w:r>
      <w:r w:rsidR="00F33090" w:rsidRPr="00321ED7">
        <w:rPr>
          <w:sz w:val="20"/>
          <w:lang w:val="hr-HR"/>
        </w:rPr>
        <w:t xml:space="preserve">eurima </w:t>
      </w:r>
      <w:r w:rsidRPr="00321ED7">
        <w:rPr>
          <w:sz w:val="20"/>
          <w:lang w:val="hr-HR"/>
        </w:rPr>
        <w:t xml:space="preserve">ili drugoj prihvatljivoj valuti u skladu s člankom 12. ovog Dodatka; </w:t>
      </w:r>
    </w:p>
    <w:p w14:paraId="3B25BE3F" w14:textId="77777777" w:rsidR="00383D69" w:rsidRPr="00321ED7" w:rsidRDefault="00383D69">
      <w:pPr>
        <w:ind w:left="993" w:hanging="567"/>
        <w:jc w:val="both"/>
        <w:rPr>
          <w:sz w:val="20"/>
          <w:lang w:val="hr-HR"/>
        </w:rPr>
      </w:pPr>
    </w:p>
    <w:p w14:paraId="320040D8" w14:textId="77777777" w:rsidR="00383D69" w:rsidRPr="00321ED7" w:rsidRDefault="00383D69">
      <w:pPr>
        <w:jc w:val="both"/>
        <w:rPr>
          <w:sz w:val="20"/>
          <w:lang w:val="hr-HR"/>
        </w:rPr>
      </w:pPr>
      <w:r w:rsidRPr="00321ED7">
        <w:rPr>
          <w:sz w:val="20"/>
          <w:lang w:val="hr-HR"/>
        </w:rPr>
        <w:t>"</w:t>
      </w:r>
      <w:r w:rsidRPr="00321ED7">
        <w:rPr>
          <w:b/>
          <w:sz w:val="20"/>
          <w:lang w:val="hr-HR"/>
        </w:rPr>
        <w:t>Datum slanja obavijesti</w:t>
      </w:r>
      <w:r w:rsidRPr="00321ED7">
        <w:rPr>
          <w:sz w:val="20"/>
          <w:lang w:val="hr-HR"/>
        </w:rPr>
        <w:t>" označava Radni dan koji neposredno slijedi Datum vrednovanja;</w:t>
      </w:r>
    </w:p>
    <w:p w14:paraId="4EC45CA9" w14:textId="77777777" w:rsidR="00383D69" w:rsidRPr="00321ED7" w:rsidRDefault="00383D69">
      <w:pPr>
        <w:jc w:val="both"/>
        <w:rPr>
          <w:sz w:val="20"/>
          <w:lang w:val="hr-HR"/>
        </w:rPr>
      </w:pPr>
    </w:p>
    <w:p w14:paraId="5E239017" w14:textId="77777777" w:rsidR="00383D69" w:rsidRPr="00321ED7" w:rsidRDefault="00383D69">
      <w:pPr>
        <w:jc w:val="both"/>
        <w:rPr>
          <w:sz w:val="20"/>
          <w:lang w:val="hr-HR"/>
        </w:rPr>
      </w:pPr>
      <w:r w:rsidRPr="00321ED7">
        <w:rPr>
          <w:sz w:val="20"/>
          <w:lang w:val="hr-HR"/>
        </w:rPr>
        <w:t>"</w:t>
      </w:r>
      <w:r w:rsidRPr="00321ED7">
        <w:rPr>
          <w:b/>
          <w:sz w:val="20"/>
          <w:lang w:val="hr-HR"/>
        </w:rPr>
        <w:t>Datum vrednovanja</w:t>
      </w:r>
      <w:r w:rsidRPr="00321ED7">
        <w:rPr>
          <w:sz w:val="20"/>
          <w:lang w:val="hr-HR"/>
        </w:rPr>
        <w:t>" označava svaki Radni dan koji je kao takav definiran u članku 12.(6) ovog Dodatka. Svaka ugovorna strana ima pravo jednostranom obaviješću odrediti dodatne Radne dane kao Datume vrednovanja. Navedena obavijest bit će dostavljena Agentu vrednovanja i drugoj ugovornoj strani najkasnije jedan Radni dan prije dodatnog Datuma vrednovanja;</w:t>
      </w:r>
    </w:p>
    <w:p w14:paraId="155BB440" w14:textId="77777777" w:rsidR="00383D69" w:rsidRPr="00321ED7" w:rsidRDefault="00383D69">
      <w:pPr>
        <w:jc w:val="both"/>
        <w:rPr>
          <w:sz w:val="20"/>
          <w:lang w:val="hr-HR"/>
        </w:rPr>
      </w:pPr>
    </w:p>
    <w:p w14:paraId="7A1EB252" w14:textId="77777777" w:rsidR="00383D69" w:rsidRPr="00321ED7" w:rsidRDefault="00383D69">
      <w:pPr>
        <w:jc w:val="both"/>
        <w:rPr>
          <w:sz w:val="20"/>
          <w:lang w:val="hr-HR"/>
        </w:rPr>
      </w:pPr>
      <w:r w:rsidRPr="00321ED7">
        <w:rPr>
          <w:sz w:val="20"/>
          <w:lang w:val="hr-HR"/>
        </w:rPr>
        <w:t>"</w:t>
      </w:r>
      <w:r w:rsidRPr="00321ED7">
        <w:rPr>
          <w:b/>
          <w:sz w:val="20"/>
          <w:lang w:val="hr-HR"/>
        </w:rPr>
        <w:t>Relevantno</w:t>
      </w:r>
      <w:r w:rsidRPr="00321ED7">
        <w:rPr>
          <w:sz w:val="20"/>
          <w:lang w:val="hr-HR"/>
        </w:rPr>
        <w:t xml:space="preserve"> </w:t>
      </w:r>
      <w:r w:rsidRPr="00321ED7">
        <w:rPr>
          <w:b/>
          <w:sz w:val="20"/>
          <w:lang w:val="hr-HR"/>
        </w:rPr>
        <w:t>vrijeme</w:t>
      </w:r>
      <w:r w:rsidRPr="00321ED7">
        <w:rPr>
          <w:sz w:val="20"/>
          <w:lang w:val="hr-HR"/>
        </w:rPr>
        <w:t>" označava kraj radnog vremena banaka u Zagrebu na Datum vrednovanja;</w:t>
      </w:r>
    </w:p>
    <w:p w14:paraId="06ABE10A" w14:textId="77777777" w:rsidR="00383D69" w:rsidRPr="00321ED7" w:rsidRDefault="00383D69">
      <w:pPr>
        <w:jc w:val="both"/>
        <w:rPr>
          <w:sz w:val="20"/>
          <w:lang w:val="hr-HR"/>
        </w:rPr>
      </w:pPr>
    </w:p>
    <w:p w14:paraId="0AE4E9D1" w14:textId="77777777" w:rsidR="00383D69" w:rsidRPr="00321ED7" w:rsidRDefault="00383D69">
      <w:pPr>
        <w:jc w:val="both"/>
        <w:rPr>
          <w:sz w:val="20"/>
          <w:lang w:val="hr-HR"/>
        </w:rPr>
      </w:pPr>
      <w:r w:rsidRPr="00321ED7">
        <w:rPr>
          <w:sz w:val="20"/>
          <w:lang w:val="hr-HR"/>
        </w:rPr>
        <w:t>"</w:t>
      </w:r>
      <w:r w:rsidRPr="00321ED7">
        <w:rPr>
          <w:b/>
          <w:sz w:val="20"/>
          <w:lang w:val="hr-HR"/>
        </w:rPr>
        <w:t>Iznos za osiguranje</w:t>
      </w:r>
      <w:r w:rsidRPr="00321ED7">
        <w:rPr>
          <w:sz w:val="20"/>
          <w:lang w:val="hr-HR"/>
        </w:rPr>
        <w:t xml:space="preserve">" </w:t>
      </w:r>
      <w:r w:rsidRPr="00321ED7">
        <w:rPr>
          <w:rFonts w:cs="Arial"/>
          <w:sz w:val="20"/>
          <w:lang w:val="hr-HR"/>
        </w:rPr>
        <w:t xml:space="preserve">u odnosu na </w:t>
      </w:r>
      <w:r w:rsidRPr="00321ED7">
        <w:rPr>
          <w:sz w:val="20"/>
          <w:lang w:val="hr-HR"/>
        </w:rPr>
        <w:t>jednu ugovornu stran</w:t>
      </w:r>
      <w:r w:rsidRPr="00321ED7">
        <w:rPr>
          <w:rFonts w:cs="Arial"/>
          <w:sz w:val="20"/>
          <w:lang w:val="hr-HR"/>
        </w:rPr>
        <w:t>u,</w:t>
      </w:r>
      <w:r w:rsidRPr="00321ED7">
        <w:rPr>
          <w:sz w:val="20"/>
          <w:lang w:val="hr-HR"/>
        </w:rPr>
        <w:t xml:space="preserve"> označava iznos koji je jednak zbroju njene Izloženosti i eventualnih Dodatnih iznosa ugovorenih u njezinu korist, umanjen za Dodatne iznose ugovorene u korist druge ugovorne strane u skladu s člankom 12.(5) ovog Dodatka; ako iznos utvrđen na taj način ima negativnu vrijednost, smatra se da je Iznos za osiguranje </w:t>
      </w:r>
      <w:r w:rsidRPr="00321ED7">
        <w:rPr>
          <w:rFonts w:cs="Arial"/>
          <w:sz w:val="20"/>
          <w:lang w:val="hr-HR"/>
        </w:rPr>
        <w:t xml:space="preserve">u odnosu na </w:t>
      </w:r>
      <w:r w:rsidRPr="00321ED7">
        <w:rPr>
          <w:sz w:val="20"/>
          <w:lang w:val="hr-HR"/>
        </w:rPr>
        <w:t>tu</w:t>
      </w:r>
      <w:r w:rsidRPr="00321ED7">
        <w:rPr>
          <w:rFonts w:cs="Arial"/>
          <w:sz w:val="20"/>
          <w:lang w:val="hr-HR"/>
        </w:rPr>
        <w:t xml:space="preserve"> </w:t>
      </w:r>
      <w:r w:rsidRPr="00321ED7">
        <w:rPr>
          <w:sz w:val="20"/>
          <w:lang w:val="hr-HR"/>
        </w:rPr>
        <w:t>ugovornu stranu jednak nuli;</w:t>
      </w:r>
    </w:p>
    <w:p w14:paraId="0AEABEB6" w14:textId="77777777" w:rsidR="00383D69" w:rsidRPr="00321ED7" w:rsidRDefault="00383D69">
      <w:pPr>
        <w:jc w:val="both"/>
        <w:rPr>
          <w:sz w:val="20"/>
          <w:lang w:val="hr-HR"/>
        </w:rPr>
      </w:pPr>
    </w:p>
    <w:p w14:paraId="6AA3000A" w14:textId="77777777" w:rsidR="00383D69" w:rsidRPr="00321ED7" w:rsidRDefault="00383D69">
      <w:pPr>
        <w:jc w:val="both"/>
        <w:rPr>
          <w:sz w:val="20"/>
          <w:lang w:val="hr-HR"/>
        </w:rPr>
      </w:pPr>
      <w:r w:rsidRPr="00321ED7">
        <w:rPr>
          <w:sz w:val="20"/>
          <w:lang w:val="hr-HR"/>
        </w:rPr>
        <w:t>“</w:t>
      </w:r>
      <w:r w:rsidRPr="00321ED7">
        <w:rPr>
          <w:b/>
          <w:sz w:val="20"/>
          <w:lang w:val="hr-HR"/>
        </w:rPr>
        <w:t>Prodajna cijena</w:t>
      </w:r>
      <w:r w:rsidRPr="00321ED7">
        <w:rPr>
          <w:sz w:val="20"/>
          <w:lang w:val="hr-HR"/>
        </w:rPr>
        <w:t xml:space="preserve">” označava prodajnu cijenu financijskog instrumenta ili valute koju su odredili vodeći sudionici tržišta; </w:t>
      </w:r>
    </w:p>
    <w:p w14:paraId="0A457B1E" w14:textId="77777777" w:rsidR="00383D69" w:rsidRPr="00321ED7" w:rsidRDefault="00383D69">
      <w:pPr>
        <w:jc w:val="both"/>
        <w:rPr>
          <w:sz w:val="20"/>
          <w:lang w:val="hr-HR"/>
        </w:rPr>
      </w:pPr>
    </w:p>
    <w:p w14:paraId="2690EE90" w14:textId="77777777" w:rsidR="00383D69" w:rsidRPr="00321ED7" w:rsidRDefault="00383D69">
      <w:pPr>
        <w:jc w:val="both"/>
        <w:rPr>
          <w:sz w:val="20"/>
          <w:lang w:val="hr-HR"/>
        </w:rPr>
      </w:pPr>
      <w:r w:rsidRPr="00321ED7">
        <w:rPr>
          <w:sz w:val="20"/>
          <w:lang w:val="hr-HR"/>
        </w:rPr>
        <w:t>”</w:t>
      </w:r>
      <w:r w:rsidRPr="00321ED7">
        <w:rPr>
          <w:b/>
          <w:sz w:val="20"/>
          <w:lang w:val="hr-HR"/>
        </w:rPr>
        <w:t>Kupovna cijena</w:t>
      </w:r>
      <w:r w:rsidRPr="00321ED7">
        <w:rPr>
          <w:sz w:val="20"/>
          <w:lang w:val="hr-HR"/>
        </w:rPr>
        <w:t>” označava kupovnu cijenu financijskog instrumenta ili valute koju su odredili vodeći sudionici tržišta.</w:t>
      </w:r>
    </w:p>
    <w:p w14:paraId="211CDACA" w14:textId="77777777" w:rsidR="00383D69" w:rsidRPr="00321ED7" w:rsidRDefault="00383D69">
      <w:pPr>
        <w:jc w:val="both"/>
        <w:rPr>
          <w:sz w:val="20"/>
          <w:lang w:val="hr-HR"/>
        </w:rPr>
      </w:pPr>
    </w:p>
    <w:p w14:paraId="6B022E01" w14:textId="77777777" w:rsidR="00383D69" w:rsidRPr="00321ED7" w:rsidRDefault="00383D69">
      <w:pPr>
        <w:jc w:val="both"/>
        <w:rPr>
          <w:sz w:val="20"/>
          <w:lang w:val="hr-HR"/>
        </w:rPr>
      </w:pPr>
      <w:r w:rsidRPr="00321ED7">
        <w:rPr>
          <w:sz w:val="20"/>
          <w:lang w:val="hr-HR"/>
        </w:rPr>
        <w:t>"</w:t>
      </w:r>
      <w:r w:rsidRPr="00321ED7">
        <w:rPr>
          <w:b/>
          <w:sz w:val="20"/>
          <w:lang w:val="hr-HR"/>
        </w:rPr>
        <w:t>Tržišna cijena</w:t>
      </w:r>
      <w:r w:rsidRPr="00321ED7">
        <w:rPr>
          <w:sz w:val="20"/>
          <w:lang w:val="hr-HR"/>
        </w:rPr>
        <w:t xml:space="preserve">" označava Srednju cijenu u Relevantno vrijeme uključujući, u slučaju dužničkih vrijednosnih papira, svaki iznos kamate obračunat do tog vremena; </w:t>
      </w:r>
    </w:p>
    <w:p w14:paraId="4DABC629" w14:textId="77777777" w:rsidR="00383D69" w:rsidRPr="00321ED7" w:rsidRDefault="00383D69">
      <w:pPr>
        <w:jc w:val="both"/>
        <w:rPr>
          <w:sz w:val="20"/>
          <w:lang w:val="hr-HR"/>
        </w:rPr>
      </w:pPr>
    </w:p>
    <w:p w14:paraId="51DDFF04" w14:textId="77777777" w:rsidR="00383D69" w:rsidRPr="00321ED7" w:rsidRDefault="00383D69">
      <w:pPr>
        <w:jc w:val="both"/>
        <w:rPr>
          <w:sz w:val="20"/>
          <w:lang w:val="hr-HR"/>
        </w:rPr>
      </w:pPr>
      <w:r w:rsidRPr="00321ED7">
        <w:rPr>
          <w:sz w:val="20"/>
          <w:lang w:val="hr-HR"/>
        </w:rPr>
        <w:t>"</w:t>
      </w:r>
      <w:r w:rsidRPr="00321ED7">
        <w:rPr>
          <w:b/>
          <w:sz w:val="20"/>
          <w:lang w:val="hr-HR"/>
        </w:rPr>
        <w:t>Srednja cijena</w:t>
      </w:r>
      <w:r w:rsidRPr="00321ED7">
        <w:rPr>
          <w:sz w:val="20"/>
          <w:lang w:val="hr-HR"/>
        </w:rPr>
        <w:t>” označava aritmetičku sredinu između Prodajne cijene i Kupovne cijene;</w:t>
      </w:r>
    </w:p>
    <w:p w14:paraId="4C8D1A6A" w14:textId="77777777" w:rsidR="00383D69" w:rsidRPr="00321ED7" w:rsidRDefault="00383D69">
      <w:pPr>
        <w:jc w:val="both"/>
        <w:rPr>
          <w:sz w:val="20"/>
          <w:lang w:val="hr-HR"/>
        </w:rPr>
      </w:pPr>
    </w:p>
    <w:p w14:paraId="5C3B25CE" w14:textId="77777777" w:rsidR="00383D69" w:rsidRPr="00321ED7" w:rsidRDefault="00383D69">
      <w:pPr>
        <w:jc w:val="both"/>
        <w:rPr>
          <w:sz w:val="20"/>
          <w:lang w:val="hr-HR"/>
        </w:rPr>
      </w:pPr>
      <w:r w:rsidRPr="00321ED7">
        <w:rPr>
          <w:sz w:val="20"/>
          <w:lang w:val="hr-HR"/>
        </w:rPr>
        <w:t>"</w:t>
      </w:r>
      <w:r w:rsidRPr="00321ED7">
        <w:rPr>
          <w:b/>
          <w:sz w:val="20"/>
          <w:lang w:val="hr-HR"/>
        </w:rPr>
        <w:t>Instrument osiguranja</w:t>
      </w:r>
      <w:r w:rsidRPr="00321ED7">
        <w:rPr>
          <w:sz w:val="20"/>
          <w:lang w:val="hr-HR"/>
        </w:rPr>
        <w:t>" označava Novac kao instrument osiguranja i Vrijednosne papire kao instrument osiguranja (u smislu članka 2., točka 3. Zakona o financijskom osiguranju);</w:t>
      </w:r>
    </w:p>
    <w:p w14:paraId="64262CBF" w14:textId="77777777" w:rsidR="00383D69" w:rsidRPr="00321ED7" w:rsidRDefault="00383D69">
      <w:pPr>
        <w:jc w:val="both"/>
        <w:rPr>
          <w:sz w:val="20"/>
          <w:lang w:val="hr-HR"/>
        </w:rPr>
      </w:pPr>
    </w:p>
    <w:p w14:paraId="278F7E38" w14:textId="77777777" w:rsidR="00383D69" w:rsidRPr="00321ED7" w:rsidRDefault="00383D69">
      <w:pPr>
        <w:jc w:val="both"/>
        <w:rPr>
          <w:sz w:val="20"/>
          <w:lang w:val="hr-HR"/>
        </w:rPr>
      </w:pPr>
      <w:r w:rsidRPr="00321ED7">
        <w:rPr>
          <w:sz w:val="20"/>
          <w:lang w:val="hr-HR"/>
        </w:rPr>
        <w:t>"</w:t>
      </w:r>
      <w:r w:rsidRPr="00321ED7">
        <w:rPr>
          <w:b/>
          <w:sz w:val="20"/>
          <w:lang w:val="hr-HR"/>
        </w:rPr>
        <w:t>Vrijednosni papiri kao instrument osiguranja</w:t>
      </w:r>
      <w:r w:rsidRPr="00321ED7">
        <w:rPr>
          <w:sz w:val="20"/>
          <w:lang w:val="hr-HR"/>
        </w:rPr>
        <w:t>” označava prihvatljive vrijednosne papire u skladu s člankom 12.(1) ovog Dodatka;</w:t>
      </w:r>
    </w:p>
    <w:p w14:paraId="46E9F439" w14:textId="77777777" w:rsidR="00383D69" w:rsidRPr="00321ED7" w:rsidRDefault="00383D69">
      <w:pPr>
        <w:jc w:val="both"/>
        <w:rPr>
          <w:sz w:val="20"/>
          <w:lang w:val="hr-HR"/>
        </w:rPr>
      </w:pPr>
    </w:p>
    <w:p w14:paraId="184B0C4C" w14:textId="77777777" w:rsidR="00383D69" w:rsidRPr="00321ED7" w:rsidRDefault="00383D69">
      <w:pPr>
        <w:jc w:val="both"/>
        <w:rPr>
          <w:sz w:val="20"/>
          <w:lang w:val="hr-HR"/>
        </w:rPr>
      </w:pPr>
      <w:r w:rsidRPr="00321ED7">
        <w:rPr>
          <w:sz w:val="20"/>
          <w:lang w:val="hr-HR"/>
        </w:rPr>
        <w:t>“</w:t>
      </w:r>
      <w:r w:rsidRPr="00321ED7">
        <w:rPr>
          <w:b/>
          <w:sz w:val="20"/>
          <w:lang w:val="hr-HR"/>
        </w:rPr>
        <w:t>Dodatni iznosi</w:t>
      </w:r>
      <w:r w:rsidRPr="00321ED7">
        <w:rPr>
          <w:sz w:val="20"/>
          <w:lang w:val="hr-HR"/>
        </w:rPr>
        <w:t xml:space="preserve">” označava svaki iznos određen kao takav u korist jedne ugovorne strane u članku 12.(5) ovog Dodatka ili uvjetima pojedine Transakcije; </w:t>
      </w:r>
    </w:p>
    <w:p w14:paraId="12236E11" w14:textId="77777777" w:rsidR="00383D69" w:rsidRPr="00321ED7" w:rsidRDefault="00383D69">
      <w:pPr>
        <w:jc w:val="both"/>
        <w:rPr>
          <w:sz w:val="20"/>
          <w:lang w:val="hr-HR"/>
        </w:rPr>
      </w:pPr>
    </w:p>
    <w:p w14:paraId="74424D53" w14:textId="77777777" w:rsidR="00383D69" w:rsidRPr="00321ED7" w:rsidRDefault="00383D69">
      <w:pPr>
        <w:pStyle w:val="CommentText"/>
        <w:jc w:val="both"/>
        <w:rPr>
          <w:lang w:val="hr-HR"/>
        </w:rPr>
      </w:pPr>
      <w:r w:rsidRPr="00321ED7">
        <w:rPr>
          <w:lang w:val="hr-HR"/>
        </w:rPr>
        <w:t>„</w:t>
      </w:r>
      <w:r w:rsidRPr="00321ED7">
        <w:rPr>
          <w:b/>
          <w:lang w:val="hr-HR"/>
        </w:rPr>
        <w:t>Ekvivalentan</w:t>
      </w:r>
      <w:r w:rsidRPr="00321ED7">
        <w:rPr>
          <w:lang w:val="hr-HR"/>
        </w:rPr>
        <w:t>“ označava, za Novac kao instrument osiguranja, novčana sredstva istog nominalnog iznosa i iste valute te, za Vrijednosne papire kao instrumente osiguranja, vrijednosne papire iste vrste i istog roda koje je izdao isti izdavatelj;</w:t>
      </w:r>
    </w:p>
    <w:p w14:paraId="2E9D7079" w14:textId="77777777" w:rsidR="00383D69" w:rsidRPr="00321ED7" w:rsidRDefault="00383D69">
      <w:pPr>
        <w:pStyle w:val="CommentText"/>
        <w:jc w:val="both"/>
        <w:rPr>
          <w:lang w:val="hr-HR"/>
        </w:rPr>
      </w:pPr>
    </w:p>
    <w:p w14:paraId="68F0AD98" w14:textId="77777777" w:rsidR="00383D69" w:rsidRPr="00321ED7" w:rsidRDefault="00383D69">
      <w:pPr>
        <w:pStyle w:val="CommentText"/>
        <w:jc w:val="both"/>
        <w:rPr>
          <w:rFonts w:cs="Arial"/>
          <w:lang w:val="hr-HR"/>
        </w:rPr>
      </w:pPr>
      <w:r w:rsidRPr="00321ED7">
        <w:rPr>
          <w:lang w:val="hr-HR"/>
        </w:rPr>
        <w:t>„</w:t>
      </w:r>
      <w:r w:rsidRPr="00321ED7">
        <w:rPr>
          <w:b/>
          <w:lang w:val="hr-HR"/>
        </w:rPr>
        <w:t>Ugovor</w:t>
      </w:r>
      <w:r w:rsidRPr="00321ED7">
        <w:rPr>
          <w:lang w:val="hr-HR"/>
        </w:rPr>
        <w:t>“ označava Okvirni ugovor i sve sklopljene nenamirene Transakcije</w:t>
      </w:r>
      <w:r w:rsidRPr="00321ED7">
        <w:rPr>
          <w:rFonts w:cs="Arial"/>
          <w:lang w:val="hr-HR"/>
        </w:rPr>
        <w:t>.</w:t>
      </w:r>
    </w:p>
    <w:p w14:paraId="74407FAD" w14:textId="77777777" w:rsidR="00383D69" w:rsidRPr="00321ED7" w:rsidRDefault="00383D69">
      <w:pPr>
        <w:jc w:val="both"/>
        <w:rPr>
          <w:sz w:val="20"/>
          <w:lang w:val="hr-HR"/>
        </w:rPr>
      </w:pPr>
    </w:p>
    <w:p w14:paraId="696EF96B" w14:textId="77777777" w:rsidR="00383D69" w:rsidRPr="00321ED7" w:rsidRDefault="00383D69">
      <w:pPr>
        <w:jc w:val="both"/>
        <w:rPr>
          <w:sz w:val="20"/>
          <w:lang w:val="hr-HR"/>
        </w:rPr>
      </w:pPr>
    </w:p>
    <w:p w14:paraId="61637B86" w14:textId="77777777" w:rsidR="00383D69" w:rsidRPr="00321ED7" w:rsidRDefault="00383D69">
      <w:pPr>
        <w:jc w:val="both"/>
        <w:rPr>
          <w:b/>
          <w:sz w:val="20"/>
          <w:lang w:val="hr-HR"/>
        </w:rPr>
      </w:pPr>
      <w:r w:rsidRPr="00321ED7">
        <w:rPr>
          <w:b/>
          <w:sz w:val="20"/>
          <w:lang w:val="hr-HR"/>
        </w:rPr>
        <w:t>3. Prijenos Instrumenta osiguranja</w:t>
      </w:r>
    </w:p>
    <w:p w14:paraId="4086B4F9" w14:textId="77777777" w:rsidR="00383D69" w:rsidRPr="00321ED7" w:rsidRDefault="00383D69">
      <w:pPr>
        <w:pStyle w:val="Header"/>
        <w:tabs>
          <w:tab w:val="clear" w:pos="4536"/>
          <w:tab w:val="clear" w:pos="9072"/>
        </w:tabs>
        <w:jc w:val="both"/>
        <w:rPr>
          <w:lang w:val="hr-HR"/>
        </w:rPr>
      </w:pPr>
    </w:p>
    <w:p w14:paraId="0AD98083" w14:textId="77777777" w:rsidR="00383D69" w:rsidRPr="00321ED7" w:rsidRDefault="00383D69">
      <w:pPr>
        <w:tabs>
          <w:tab w:val="left" w:pos="426"/>
        </w:tabs>
        <w:jc w:val="both"/>
        <w:rPr>
          <w:sz w:val="20"/>
          <w:lang w:val="hr-HR"/>
        </w:rPr>
      </w:pPr>
      <w:r w:rsidRPr="00321ED7">
        <w:rPr>
          <w:sz w:val="20"/>
          <w:lang w:val="hr-HR"/>
        </w:rPr>
        <w:t>U slučaju nastanka Izloženosti Osigurane strane Davatelj osiguranja prenijet će mu Instrument osiguranja u skladu s odredbama ovog Dodatka.</w:t>
      </w:r>
    </w:p>
    <w:p w14:paraId="5523E314" w14:textId="77777777" w:rsidR="00383D69" w:rsidRPr="00321ED7" w:rsidRDefault="00383D69">
      <w:pPr>
        <w:tabs>
          <w:tab w:val="left" w:pos="426"/>
        </w:tabs>
        <w:jc w:val="both"/>
        <w:rPr>
          <w:sz w:val="20"/>
          <w:lang w:val="hr-HR"/>
        </w:rPr>
      </w:pPr>
    </w:p>
    <w:p w14:paraId="5CCB46AA" w14:textId="77777777" w:rsidR="00383D69" w:rsidRPr="00321ED7" w:rsidRDefault="00383D69">
      <w:pPr>
        <w:tabs>
          <w:tab w:val="left" w:pos="426"/>
        </w:tabs>
        <w:jc w:val="both"/>
        <w:rPr>
          <w:b/>
          <w:sz w:val="20"/>
          <w:lang w:val="hr-HR"/>
        </w:rPr>
      </w:pPr>
    </w:p>
    <w:p w14:paraId="7D62BDC6" w14:textId="77777777" w:rsidR="00383D69" w:rsidRPr="00321ED7" w:rsidRDefault="00383D69">
      <w:pPr>
        <w:tabs>
          <w:tab w:val="left" w:pos="426"/>
        </w:tabs>
        <w:jc w:val="both"/>
        <w:rPr>
          <w:b/>
          <w:sz w:val="20"/>
          <w:lang w:val="hr-HR"/>
        </w:rPr>
      </w:pPr>
      <w:r w:rsidRPr="00321ED7">
        <w:rPr>
          <w:b/>
          <w:sz w:val="20"/>
          <w:lang w:val="hr-HR"/>
        </w:rPr>
        <w:t>4. Manjak pokrića</w:t>
      </w:r>
    </w:p>
    <w:p w14:paraId="501742D9" w14:textId="77777777" w:rsidR="00383D69" w:rsidRPr="00321ED7" w:rsidRDefault="00383D69">
      <w:pPr>
        <w:tabs>
          <w:tab w:val="left" w:pos="426"/>
        </w:tabs>
        <w:jc w:val="both"/>
        <w:rPr>
          <w:sz w:val="20"/>
          <w:lang w:val="hr-HR"/>
        </w:rPr>
      </w:pPr>
    </w:p>
    <w:p w14:paraId="276C6AA8" w14:textId="77777777" w:rsidR="00383D69" w:rsidRPr="00321ED7" w:rsidRDefault="00383D69">
      <w:pPr>
        <w:tabs>
          <w:tab w:val="left" w:pos="426"/>
        </w:tabs>
        <w:jc w:val="both"/>
        <w:rPr>
          <w:sz w:val="20"/>
          <w:lang w:val="hr-HR"/>
        </w:rPr>
      </w:pPr>
      <w:r w:rsidRPr="00321ED7">
        <w:rPr>
          <w:sz w:val="20"/>
          <w:lang w:val="hr-HR"/>
        </w:rPr>
        <w:t>(1)</w:t>
      </w:r>
      <w:r w:rsidRPr="00321ED7">
        <w:rPr>
          <w:sz w:val="20"/>
          <w:lang w:val="hr-HR"/>
        </w:rPr>
        <w:tab/>
        <w:t>Ako na Datum vrednovanja bude utvrđen manjak pokrića, Davatelj osiguranja dužan je Osiguranoj strani na njezin zahtjev prenijeti Instrument osiguranja čija je Vrijednost jednaka ili veća od iznosa potrebnog za pokriće manjka.</w:t>
      </w:r>
    </w:p>
    <w:p w14:paraId="0544711F" w14:textId="77777777" w:rsidR="00383D69" w:rsidRPr="00321ED7" w:rsidRDefault="00383D69">
      <w:pPr>
        <w:tabs>
          <w:tab w:val="left" w:pos="426"/>
        </w:tabs>
        <w:jc w:val="both"/>
        <w:rPr>
          <w:sz w:val="20"/>
          <w:lang w:val="hr-HR"/>
        </w:rPr>
      </w:pPr>
    </w:p>
    <w:p w14:paraId="2DB46DAE" w14:textId="77777777" w:rsidR="00383D69" w:rsidRPr="00321ED7" w:rsidRDefault="00383D69">
      <w:pPr>
        <w:pStyle w:val="BodyTextIndent2"/>
        <w:ind w:left="0" w:firstLine="0"/>
        <w:jc w:val="both"/>
        <w:rPr>
          <w:lang w:val="hr-HR"/>
        </w:rPr>
      </w:pPr>
      <w:r w:rsidRPr="00321ED7">
        <w:rPr>
          <w:lang w:val="hr-HR"/>
        </w:rPr>
        <w:t>(2)</w:t>
      </w:r>
      <w:r w:rsidRPr="00321ED7">
        <w:rPr>
          <w:lang w:val="hr-HR"/>
        </w:rPr>
        <w:tab/>
        <w:t xml:space="preserve">Manjak pokrića nastupa ako je Iznos za osiguranje primjenjiv na Osiguranu stranu viši od Vrijednosti </w:t>
      </w:r>
      <w:r w:rsidRPr="00321ED7">
        <w:rPr>
          <w:rFonts w:cs="Arial"/>
          <w:lang w:val="hr-HR"/>
        </w:rPr>
        <w:t>Instrumenata osiguranja prenesenih Osiguranoj strani</w:t>
      </w:r>
      <w:r w:rsidRPr="00321ED7">
        <w:rPr>
          <w:lang w:val="hr-HR"/>
        </w:rPr>
        <w:t>. Za potrebe određivanja manjka pokrića na Datum vrednovanja, uzet će se da je Davatelj osiguranja prenio Instrument osiguranja temeljem zahtjeva Osigurane strane u skladu sa stavkom 1. ovog članka iako ga Osigurana strana nije primila ako prijenos treba izvršiti na Datum vrednovanja ili nakon Datuma vrednovanja. Za potrebe određivanja manjka pokrića na Datum vrednovanja, uzet će se da Osigurana strana nije prenijela Instrument osiguranja temeljem zahtjeva Davatelja osiguranja u skladu s člankom 5.(1) ovog Dodatka koji Davatelj osiguranja nije primio ako je prijenos trebao biti izvršen prije Datuma vrednovanja.</w:t>
      </w:r>
    </w:p>
    <w:p w14:paraId="7DE0879F" w14:textId="77777777" w:rsidR="00383D69" w:rsidRPr="00321ED7" w:rsidRDefault="00383D69">
      <w:pPr>
        <w:pStyle w:val="BodyTextIndent2"/>
        <w:ind w:left="0" w:firstLine="0"/>
        <w:jc w:val="both"/>
        <w:rPr>
          <w:lang w:val="hr-HR"/>
        </w:rPr>
      </w:pPr>
    </w:p>
    <w:p w14:paraId="29BFCFAE" w14:textId="77777777" w:rsidR="00383D69" w:rsidRPr="00321ED7" w:rsidRDefault="00383D69">
      <w:pPr>
        <w:pStyle w:val="BodyTextIndent2"/>
        <w:ind w:left="0" w:firstLine="0"/>
        <w:jc w:val="both"/>
        <w:rPr>
          <w:lang w:val="hr-HR"/>
        </w:rPr>
      </w:pPr>
      <w:r w:rsidRPr="00321ED7">
        <w:rPr>
          <w:lang w:val="hr-HR"/>
        </w:rPr>
        <w:t>(3) Davatelj osiguranja odlučuje prema slobodnoj ocjeni koju vrstu Instrumenta osiguranja (Novac kao instrument osiguranja ili Vrijednosni papir kao instrument osiguranja) će prenijeti Osiguranoj strani Davatelj osiguranja prenijet će Instrument osiguranja na račun Osigurane strane naveden u članku 12.(2) ovog Dodatka prvog sljedećeg Radnog dana nakon Radnog dana kad je zaprimio zahtjev u skladu sa stavkom (1) ovog članka, ako ga je zaprimio najkasnije do 13:00 sati (po lokalnom vremenu u Zagrebu) tog Radnog dana odnosno u roku od dva Radna dana nakon Radnog dana kad je zaprimio zahtjev, ako ga je zaprimio nakon 13:00 sati (po lokalnom vremenu u Zagrebu) tog Radnog dana.</w:t>
      </w:r>
    </w:p>
    <w:p w14:paraId="3E8F15DC" w14:textId="77777777" w:rsidR="00383D69" w:rsidRPr="00321ED7" w:rsidRDefault="00383D69">
      <w:pPr>
        <w:pStyle w:val="BodyTextIndent2"/>
        <w:ind w:left="0" w:firstLine="0"/>
        <w:jc w:val="both"/>
        <w:rPr>
          <w:lang w:val="hr-HR"/>
        </w:rPr>
      </w:pPr>
    </w:p>
    <w:p w14:paraId="124675FC" w14:textId="77777777" w:rsidR="00383D69" w:rsidRPr="00321ED7" w:rsidRDefault="00383D69">
      <w:pPr>
        <w:pStyle w:val="BodyTextIndent2"/>
        <w:ind w:left="0" w:firstLine="0"/>
        <w:jc w:val="both"/>
        <w:rPr>
          <w:lang w:val="hr-HR"/>
        </w:rPr>
      </w:pPr>
      <w:r w:rsidRPr="00321ED7">
        <w:rPr>
          <w:lang w:val="hr-HR"/>
        </w:rPr>
        <w:t xml:space="preserve">(4) Davatelj osiguranja nije dužan prenijeti Instrumente osiguranja u skladu sa stavkom 1. ovog članka ako postoji ozbiljan razlog zbog kojeg ima pravo raskinuti </w:t>
      </w:r>
      <w:r w:rsidRPr="00321ED7">
        <w:rPr>
          <w:rFonts w:cs="Arial"/>
          <w:lang w:val="hr-HR"/>
        </w:rPr>
        <w:t>U</w:t>
      </w:r>
      <w:r w:rsidRPr="00321ED7">
        <w:rPr>
          <w:lang w:val="hr-HR"/>
        </w:rPr>
        <w:t>govor u skladu s člankom 7. Okvirnog ugovora.</w:t>
      </w:r>
    </w:p>
    <w:p w14:paraId="34290EF4" w14:textId="77777777" w:rsidR="00383D69" w:rsidRPr="00321ED7" w:rsidRDefault="00383D69">
      <w:pPr>
        <w:pStyle w:val="BodyTextIndent2"/>
        <w:ind w:left="0" w:firstLine="0"/>
        <w:jc w:val="both"/>
        <w:rPr>
          <w:lang w:val="hr-HR"/>
        </w:rPr>
      </w:pPr>
    </w:p>
    <w:p w14:paraId="262F6848" w14:textId="77777777" w:rsidR="00383D69" w:rsidRPr="00321ED7" w:rsidRDefault="00383D69">
      <w:pPr>
        <w:pStyle w:val="BodyTextIndent2"/>
        <w:ind w:left="0" w:firstLine="0"/>
        <w:jc w:val="both"/>
        <w:rPr>
          <w:lang w:val="hr-HR"/>
        </w:rPr>
      </w:pPr>
    </w:p>
    <w:p w14:paraId="03C04A22" w14:textId="77777777" w:rsidR="00383D69" w:rsidRPr="00321ED7" w:rsidRDefault="00383D69">
      <w:pPr>
        <w:pStyle w:val="BodyTextIndent2"/>
        <w:ind w:left="0" w:firstLine="0"/>
        <w:jc w:val="both"/>
        <w:rPr>
          <w:b/>
          <w:lang w:val="hr-HR"/>
        </w:rPr>
      </w:pPr>
      <w:r w:rsidRPr="00321ED7">
        <w:rPr>
          <w:b/>
          <w:lang w:val="hr-HR"/>
        </w:rPr>
        <w:t>5. Višak pokrića</w:t>
      </w:r>
    </w:p>
    <w:p w14:paraId="02E8A1C5" w14:textId="77777777" w:rsidR="00383D69" w:rsidRPr="00321ED7" w:rsidRDefault="00383D69">
      <w:pPr>
        <w:pStyle w:val="BodyTextIndent2"/>
        <w:ind w:left="0" w:firstLine="0"/>
        <w:jc w:val="both"/>
        <w:rPr>
          <w:lang w:val="hr-HR"/>
        </w:rPr>
      </w:pPr>
    </w:p>
    <w:p w14:paraId="3192A483" w14:textId="77777777" w:rsidR="00383D69" w:rsidRPr="00321ED7" w:rsidRDefault="00383D69">
      <w:pPr>
        <w:pStyle w:val="BodyTextIndent2"/>
        <w:numPr>
          <w:ilvl w:val="0"/>
          <w:numId w:val="4"/>
        </w:numPr>
        <w:tabs>
          <w:tab w:val="clear" w:pos="426"/>
          <w:tab w:val="left" w:pos="360"/>
        </w:tabs>
        <w:ind w:left="0" w:firstLine="0"/>
        <w:jc w:val="both"/>
        <w:rPr>
          <w:lang w:val="hr-HR"/>
        </w:rPr>
      </w:pPr>
      <w:r w:rsidRPr="00321ED7">
        <w:rPr>
          <w:lang w:val="hr-HR"/>
        </w:rPr>
        <w:t xml:space="preserve">Ako na Datum vrednovanja bude utvrđen višak pokrića, Osigurana strana dužna je Davatelju osiguranja, na njegov zahtjev i prema njegovom izboru, prenijeti novčani iznos ili vrijednosne papire Ekvivalentne Instrumentu osiguranja koji mu je Davatelj osiguranja prenio, čija Vrijednost ne premašuje iznos viška pokrića. </w:t>
      </w:r>
    </w:p>
    <w:p w14:paraId="61BDF3EE" w14:textId="77777777" w:rsidR="00383D69" w:rsidRPr="00321ED7" w:rsidRDefault="00383D69">
      <w:pPr>
        <w:pStyle w:val="BodyTextIndent2"/>
        <w:tabs>
          <w:tab w:val="clear" w:pos="426"/>
          <w:tab w:val="left" w:pos="360"/>
        </w:tabs>
        <w:ind w:left="0" w:firstLine="0"/>
        <w:jc w:val="both"/>
        <w:rPr>
          <w:lang w:val="hr-HR"/>
        </w:rPr>
      </w:pPr>
    </w:p>
    <w:p w14:paraId="4F43E719" w14:textId="77777777" w:rsidR="00383D69" w:rsidRPr="00321ED7" w:rsidRDefault="00383D69">
      <w:pPr>
        <w:pStyle w:val="BodyTextIndent2"/>
        <w:numPr>
          <w:ilvl w:val="0"/>
          <w:numId w:val="4"/>
        </w:numPr>
        <w:tabs>
          <w:tab w:val="clear" w:pos="426"/>
          <w:tab w:val="left" w:pos="360"/>
        </w:tabs>
        <w:ind w:left="0" w:firstLine="0"/>
        <w:jc w:val="both"/>
        <w:rPr>
          <w:lang w:val="hr-HR"/>
        </w:rPr>
      </w:pPr>
      <w:r w:rsidRPr="00321ED7">
        <w:rPr>
          <w:lang w:val="hr-HR"/>
        </w:rPr>
        <w:t xml:space="preserve">Višak pokrića nastaje kad Vrijednost </w:t>
      </w:r>
      <w:r w:rsidRPr="00321ED7">
        <w:rPr>
          <w:rFonts w:cs="Arial"/>
          <w:lang w:val="hr-HR"/>
        </w:rPr>
        <w:t xml:space="preserve">Instrumenata osiguranja prenesenih Osiguranoj strani </w:t>
      </w:r>
      <w:r w:rsidRPr="00321ED7">
        <w:rPr>
          <w:lang w:val="hr-HR"/>
        </w:rPr>
        <w:t>prijeđe Iznos za osiguranje primjenjiv na Osiguranu stranu. U tom slučaju, na odgovarajući se način primjenjuju odredbe članka 4.(2), rečenice 2. i 3. ovog Dodatka</w:t>
      </w:r>
    </w:p>
    <w:p w14:paraId="7B058AA9" w14:textId="77777777" w:rsidR="00383D69" w:rsidRPr="00321ED7" w:rsidRDefault="00383D69">
      <w:pPr>
        <w:pStyle w:val="BodyTextIndent2"/>
        <w:tabs>
          <w:tab w:val="clear" w:pos="426"/>
          <w:tab w:val="left" w:pos="360"/>
        </w:tabs>
        <w:ind w:left="360" w:firstLine="0"/>
        <w:jc w:val="both"/>
        <w:rPr>
          <w:lang w:val="hr-HR"/>
        </w:rPr>
      </w:pPr>
    </w:p>
    <w:p w14:paraId="1EA57AC5" w14:textId="77777777" w:rsidR="00383D69" w:rsidRPr="00321ED7" w:rsidRDefault="00383D69">
      <w:pPr>
        <w:pStyle w:val="BodyTextIndent2"/>
        <w:numPr>
          <w:ilvl w:val="0"/>
          <w:numId w:val="4"/>
        </w:numPr>
        <w:tabs>
          <w:tab w:val="clear" w:pos="426"/>
          <w:tab w:val="left" w:pos="360"/>
        </w:tabs>
        <w:ind w:left="0" w:firstLine="0"/>
        <w:jc w:val="both"/>
        <w:rPr>
          <w:lang w:val="hr-HR"/>
        </w:rPr>
      </w:pPr>
      <w:r w:rsidRPr="00321ED7">
        <w:rPr>
          <w:lang w:val="hr-HR"/>
        </w:rPr>
        <w:t xml:space="preserve">Ekvivalentni novčani iznos ili vrijednosne papire Osigurana strana prenijet će na račun Davatelja osiguranja naveden u članku 12.(2) ovog Dodatka u roku od dva Radna dana nakon Radnog dana kad je zaprimio zahtjev u skladu s člankom 5.(1) ovog Dodatka ako ga je zaprimio najkasnije do 13:00 sati (po lokalnom vremenu u Zagrebu) tog Radnog dana, odnosno u roku od tri Radna dana nakon Radnog dana kad je zaprimio zahtjev, ako ga je zaprimio nakon 13:00 sati (po lokalnom vremenu u Zagrebu) tog Radnog dana. Za vrijednosne papire na skrbničkim računima u inozemstvu navedeno razdoblje se produžuje u slučaju da jedan od ovih dana nije radni dan u mjestu u kojem se nalazi inozemna skrbnička banka te ako iz tog razloga prijenos nije moguće izvršiti ranije ili bi ga bilo moguće izvršiti samo uz neprihvatljive napore. </w:t>
      </w:r>
    </w:p>
    <w:p w14:paraId="4D639754" w14:textId="77777777" w:rsidR="00383D69" w:rsidRPr="00321ED7" w:rsidRDefault="00383D69">
      <w:pPr>
        <w:pStyle w:val="BodyTextIndent2"/>
        <w:tabs>
          <w:tab w:val="clear" w:pos="426"/>
          <w:tab w:val="left" w:pos="360"/>
        </w:tabs>
        <w:ind w:left="709" w:firstLine="0"/>
        <w:jc w:val="both"/>
        <w:rPr>
          <w:lang w:val="hr-HR"/>
        </w:rPr>
      </w:pPr>
    </w:p>
    <w:p w14:paraId="00B16176" w14:textId="77777777" w:rsidR="00383D69" w:rsidRPr="00321ED7" w:rsidRDefault="00383D69">
      <w:pPr>
        <w:pStyle w:val="BodyTextIndent2"/>
        <w:numPr>
          <w:ilvl w:val="0"/>
          <w:numId w:val="4"/>
        </w:numPr>
        <w:tabs>
          <w:tab w:val="clear" w:pos="426"/>
          <w:tab w:val="left" w:pos="360"/>
        </w:tabs>
        <w:ind w:left="0" w:firstLine="0"/>
        <w:jc w:val="both"/>
        <w:rPr>
          <w:lang w:val="hr-HR"/>
        </w:rPr>
      </w:pPr>
      <w:r w:rsidRPr="00321ED7">
        <w:rPr>
          <w:lang w:val="hr-HR"/>
        </w:rPr>
        <w:t xml:space="preserve">Osigurana strana nije dužna prenijeti Instrumente osiguranja u skladu sa stavkom (1) ovog članka ako postoji ozbiljan razlog zbog kojeg ima pravo raskinuti </w:t>
      </w:r>
      <w:r w:rsidRPr="00321ED7">
        <w:rPr>
          <w:rFonts w:cs="Arial"/>
          <w:lang w:val="hr-HR"/>
        </w:rPr>
        <w:t>U</w:t>
      </w:r>
      <w:r w:rsidRPr="00321ED7">
        <w:rPr>
          <w:lang w:val="hr-HR"/>
        </w:rPr>
        <w:t xml:space="preserve">govor u skladu s člankom 7. Okvirnog ugovora, osim ako Osigurana strana na Datum vrednovanja nema potraživanja (uključujući buduća, potencijalna ili nedospjela potraživanja) prema Davatelju osiguranja temeljem </w:t>
      </w:r>
      <w:r w:rsidRPr="00321ED7">
        <w:rPr>
          <w:rFonts w:cs="Arial"/>
          <w:lang w:val="hr-HR"/>
        </w:rPr>
        <w:t>Transakcija</w:t>
      </w:r>
      <w:r w:rsidRPr="00321ED7">
        <w:rPr>
          <w:lang w:val="hr-HR"/>
        </w:rPr>
        <w:t>.</w:t>
      </w:r>
    </w:p>
    <w:p w14:paraId="2FF4AD95" w14:textId="77777777" w:rsidR="00383D69" w:rsidRPr="00321ED7" w:rsidRDefault="00383D69">
      <w:pPr>
        <w:pStyle w:val="BodyTextIndent2"/>
        <w:ind w:left="0" w:firstLine="0"/>
        <w:jc w:val="both"/>
        <w:rPr>
          <w:lang w:val="hr-HR"/>
        </w:rPr>
      </w:pPr>
    </w:p>
    <w:p w14:paraId="58B3EC12" w14:textId="77777777" w:rsidR="00383D69" w:rsidRPr="00321ED7" w:rsidRDefault="00383D69">
      <w:pPr>
        <w:pStyle w:val="BodyTextIndent2"/>
        <w:ind w:left="0" w:firstLine="0"/>
        <w:jc w:val="both"/>
        <w:rPr>
          <w:lang w:val="hr-HR"/>
        </w:rPr>
      </w:pPr>
    </w:p>
    <w:p w14:paraId="097443B3" w14:textId="77777777" w:rsidR="00383D69" w:rsidRPr="00321ED7" w:rsidRDefault="00383D69">
      <w:pPr>
        <w:tabs>
          <w:tab w:val="left" w:pos="-1985"/>
          <w:tab w:val="left" w:pos="426"/>
        </w:tabs>
        <w:jc w:val="both"/>
        <w:rPr>
          <w:b/>
          <w:sz w:val="20"/>
          <w:lang w:val="hr-HR"/>
        </w:rPr>
      </w:pPr>
      <w:r w:rsidRPr="00321ED7">
        <w:rPr>
          <w:b/>
          <w:sz w:val="20"/>
          <w:lang w:val="hr-HR"/>
        </w:rPr>
        <w:t>6. Minimalni iznos prijenosa</w:t>
      </w:r>
    </w:p>
    <w:p w14:paraId="4C55DB08" w14:textId="77777777" w:rsidR="00383D69" w:rsidRPr="00321ED7" w:rsidRDefault="00383D69">
      <w:pPr>
        <w:tabs>
          <w:tab w:val="left" w:pos="-1985"/>
          <w:tab w:val="left" w:pos="426"/>
        </w:tabs>
        <w:jc w:val="both"/>
        <w:rPr>
          <w:sz w:val="20"/>
          <w:lang w:val="hr-HR"/>
        </w:rPr>
      </w:pPr>
    </w:p>
    <w:p w14:paraId="14C093CE" w14:textId="77777777" w:rsidR="00383D69" w:rsidRPr="00321ED7" w:rsidRDefault="00383D69">
      <w:pPr>
        <w:tabs>
          <w:tab w:val="left" w:pos="-1985"/>
          <w:tab w:val="left" w:pos="426"/>
        </w:tabs>
        <w:jc w:val="both"/>
        <w:rPr>
          <w:sz w:val="20"/>
          <w:lang w:val="hr-HR"/>
        </w:rPr>
      </w:pPr>
      <w:r w:rsidRPr="00321ED7">
        <w:rPr>
          <w:sz w:val="20"/>
          <w:lang w:val="hr-HR"/>
        </w:rPr>
        <w:t xml:space="preserve">Ako je u odredbi članka 12.(4) ovog Dodatka utvrđen minimalni iznos prijenosa za jednu ugovornu stranu, ta ugovorna strana dužna je prenijeti Instrumente osiguranja u skladu s člankom 4. ovog Dodatka, odnosno ima pravo zahtijevati prijenos Instrumenata osiguranja u skladu s člankom 5. ovog Dodatka  samo ako je manjak ili višak pokrića najmanje jednak minimalnom iznosu prijenosa, osim u slučaju zahtjeva za prijenos u skladu s člankom 5.(1) koji se odnosi na sve Instrumente osiguranja koje drži Osigurana strana čija Izloženost je jednaka ili manja od nule. </w:t>
      </w:r>
    </w:p>
    <w:p w14:paraId="3AF30DC5" w14:textId="77777777" w:rsidR="00383D69" w:rsidRPr="00321ED7" w:rsidRDefault="00383D69">
      <w:pPr>
        <w:tabs>
          <w:tab w:val="left" w:pos="-1985"/>
          <w:tab w:val="left" w:pos="426"/>
        </w:tabs>
        <w:jc w:val="both"/>
        <w:rPr>
          <w:sz w:val="20"/>
          <w:lang w:val="hr-HR"/>
        </w:rPr>
      </w:pPr>
    </w:p>
    <w:p w14:paraId="1964006E" w14:textId="77777777" w:rsidR="00383D69" w:rsidRPr="00321ED7" w:rsidRDefault="00383D69">
      <w:pPr>
        <w:tabs>
          <w:tab w:val="left" w:pos="-1985"/>
          <w:tab w:val="left" w:pos="426"/>
        </w:tabs>
        <w:jc w:val="both"/>
        <w:rPr>
          <w:sz w:val="20"/>
          <w:lang w:val="hr-HR"/>
        </w:rPr>
      </w:pPr>
    </w:p>
    <w:p w14:paraId="2C7148D7" w14:textId="77777777" w:rsidR="00383D69" w:rsidRPr="00321ED7" w:rsidRDefault="00383D69">
      <w:pPr>
        <w:tabs>
          <w:tab w:val="left" w:pos="-1985"/>
          <w:tab w:val="left" w:pos="426"/>
        </w:tabs>
        <w:jc w:val="both"/>
        <w:rPr>
          <w:b/>
          <w:sz w:val="20"/>
          <w:lang w:val="hr-HR"/>
        </w:rPr>
      </w:pPr>
      <w:r w:rsidRPr="00321ED7">
        <w:rPr>
          <w:b/>
          <w:sz w:val="20"/>
          <w:lang w:val="hr-HR"/>
        </w:rPr>
        <w:t xml:space="preserve">7. Agent vrednovanja i rješavanje sporova </w:t>
      </w:r>
    </w:p>
    <w:p w14:paraId="11042185" w14:textId="77777777" w:rsidR="00383D69" w:rsidRPr="00321ED7" w:rsidRDefault="00383D69">
      <w:pPr>
        <w:tabs>
          <w:tab w:val="left" w:pos="-1985"/>
          <w:tab w:val="left" w:pos="426"/>
        </w:tabs>
        <w:jc w:val="both"/>
        <w:rPr>
          <w:sz w:val="20"/>
          <w:lang w:val="hr-HR"/>
        </w:rPr>
      </w:pPr>
    </w:p>
    <w:p w14:paraId="6686B4BE" w14:textId="77777777" w:rsidR="00383D69" w:rsidRPr="00321ED7" w:rsidRDefault="00383D69">
      <w:pPr>
        <w:tabs>
          <w:tab w:val="left" w:pos="426"/>
        </w:tabs>
        <w:jc w:val="both"/>
        <w:rPr>
          <w:sz w:val="20"/>
          <w:lang w:val="hr-HR"/>
        </w:rPr>
      </w:pPr>
      <w:r w:rsidRPr="00321ED7">
        <w:rPr>
          <w:sz w:val="20"/>
          <w:lang w:val="hr-HR"/>
        </w:rPr>
        <w:t xml:space="preserve">(1) Ako odredbom članka 12.(7) ovog Dodatka nije drugačije određeno, Agent vrednovanja je ugovorna strana koja podnosi zahtjev u skladu s člancima 4. i 5. na određeni Datum vrednovanja. </w:t>
      </w:r>
    </w:p>
    <w:p w14:paraId="58D0DD86" w14:textId="77777777" w:rsidR="00383D69" w:rsidRPr="00321ED7" w:rsidRDefault="00383D69">
      <w:pPr>
        <w:tabs>
          <w:tab w:val="left" w:pos="426"/>
        </w:tabs>
        <w:jc w:val="both"/>
        <w:rPr>
          <w:sz w:val="20"/>
          <w:lang w:val="hr-HR"/>
        </w:rPr>
      </w:pPr>
    </w:p>
    <w:p w14:paraId="5FCF4B39" w14:textId="499434DF" w:rsidR="00383D69" w:rsidRPr="00321ED7" w:rsidRDefault="00383D69">
      <w:pPr>
        <w:tabs>
          <w:tab w:val="left" w:pos="426"/>
        </w:tabs>
        <w:jc w:val="both"/>
        <w:rPr>
          <w:sz w:val="20"/>
          <w:lang w:val="hr-HR"/>
        </w:rPr>
      </w:pPr>
      <w:r w:rsidRPr="00321ED7">
        <w:rPr>
          <w:sz w:val="20"/>
          <w:lang w:val="hr-HR"/>
        </w:rPr>
        <w:t>(2) Za svaki Datum vrednovanja, Agent vrednovanja dužan je utvrditi sljedeće iznose u</w:t>
      </w:r>
      <w:r w:rsidR="00F9783C" w:rsidRPr="00321ED7">
        <w:rPr>
          <w:sz w:val="20"/>
          <w:lang w:val="hr-HR"/>
        </w:rPr>
        <w:t xml:space="preserve"> </w:t>
      </w:r>
      <w:r w:rsidR="00781808" w:rsidRPr="00321ED7">
        <w:rPr>
          <w:sz w:val="20"/>
          <w:lang w:val="hr-HR"/>
        </w:rPr>
        <w:t>eurima</w:t>
      </w:r>
      <w:r w:rsidRPr="00321ED7">
        <w:rPr>
          <w:sz w:val="20"/>
          <w:lang w:val="hr-HR"/>
        </w:rPr>
        <w:t xml:space="preserve">: </w:t>
      </w:r>
    </w:p>
    <w:p w14:paraId="2E85B8FA" w14:textId="77777777" w:rsidR="00383D69" w:rsidRPr="00321ED7" w:rsidRDefault="00383D69">
      <w:pPr>
        <w:numPr>
          <w:ilvl w:val="0"/>
          <w:numId w:val="5"/>
        </w:numPr>
        <w:tabs>
          <w:tab w:val="left" w:pos="426"/>
          <w:tab w:val="left" w:pos="900"/>
        </w:tabs>
        <w:ind w:left="900" w:hanging="195"/>
        <w:jc w:val="both"/>
        <w:rPr>
          <w:sz w:val="20"/>
          <w:lang w:val="hr-HR"/>
        </w:rPr>
      </w:pPr>
      <w:r w:rsidRPr="00321ED7">
        <w:rPr>
          <w:sz w:val="20"/>
          <w:lang w:val="hr-HR"/>
        </w:rPr>
        <w:t>iznos Izloženosti,</w:t>
      </w:r>
    </w:p>
    <w:p w14:paraId="5B161E8B" w14:textId="77777777" w:rsidR="00383D69" w:rsidRPr="00321ED7" w:rsidRDefault="00383D69">
      <w:pPr>
        <w:numPr>
          <w:ilvl w:val="0"/>
          <w:numId w:val="5"/>
        </w:numPr>
        <w:tabs>
          <w:tab w:val="left" w:pos="426"/>
          <w:tab w:val="left" w:pos="900"/>
        </w:tabs>
        <w:ind w:left="900" w:hanging="195"/>
        <w:jc w:val="both"/>
        <w:rPr>
          <w:sz w:val="20"/>
          <w:lang w:val="hr-HR"/>
        </w:rPr>
      </w:pPr>
      <w:r w:rsidRPr="00321ED7">
        <w:rPr>
          <w:sz w:val="20"/>
          <w:lang w:val="hr-HR"/>
        </w:rPr>
        <w:t>visinu svih Dodatnih iznosa i donje granice Iznosa za osiguranje;</w:t>
      </w:r>
    </w:p>
    <w:p w14:paraId="7A9E9E86" w14:textId="77777777" w:rsidR="00383D69" w:rsidRPr="00321ED7" w:rsidRDefault="00383D69">
      <w:pPr>
        <w:numPr>
          <w:ilvl w:val="0"/>
          <w:numId w:val="5"/>
        </w:numPr>
        <w:tabs>
          <w:tab w:val="left" w:pos="426"/>
          <w:tab w:val="left" w:pos="900"/>
        </w:tabs>
        <w:ind w:left="900" w:hanging="195"/>
        <w:jc w:val="both"/>
        <w:rPr>
          <w:sz w:val="20"/>
          <w:lang w:val="hr-HR"/>
        </w:rPr>
      </w:pPr>
      <w:r w:rsidRPr="00321ED7">
        <w:rPr>
          <w:sz w:val="20"/>
          <w:lang w:val="hr-HR"/>
        </w:rPr>
        <w:t xml:space="preserve">Vrijednost Instrumenata osiguranja prenesenih temeljem ovog Dodatka, i </w:t>
      </w:r>
    </w:p>
    <w:p w14:paraId="32346754" w14:textId="77777777" w:rsidR="00383D69" w:rsidRPr="00321ED7" w:rsidRDefault="00383D69">
      <w:pPr>
        <w:numPr>
          <w:ilvl w:val="0"/>
          <w:numId w:val="5"/>
        </w:numPr>
        <w:tabs>
          <w:tab w:val="left" w:pos="426"/>
          <w:tab w:val="left" w:pos="900"/>
        </w:tabs>
        <w:ind w:left="900" w:hanging="195"/>
        <w:jc w:val="both"/>
        <w:rPr>
          <w:sz w:val="20"/>
          <w:lang w:val="hr-HR"/>
        </w:rPr>
      </w:pPr>
      <w:r w:rsidRPr="00321ED7">
        <w:rPr>
          <w:sz w:val="20"/>
          <w:lang w:val="hr-HR"/>
        </w:rPr>
        <w:t xml:space="preserve">iznos manjka pokrića ili viška pokrića te ugovornu stranu koja je dužna izvršiti prijenos s tim u svezi. </w:t>
      </w:r>
    </w:p>
    <w:p w14:paraId="1F6CC3AE" w14:textId="77777777" w:rsidR="00383D69" w:rsidRPr="00321ED7" w:rsidRDefault="00383D69">
      <w:pPr>
        <w:tabs>
          <w:tab w:val="left" w:pos="426"/>
        </w:tabs>
        <w:jc w:val="both"/>
        <w:rPr>
          <w:sz w:val="20"/>
          <w:lang w:val="hr-HR"/>
        </w:rPr>
      </w:pPr>
    </w:p>
    <w:p w14:paraId="2A9BAC99" w14:textId="3895E128" w:rsidR="00383D69" w:rsidRPr="00321ED7" w:rsidRDefault="00383D69">
      <w:pPr>
        <w:pStyle w:val="BodyTextIndent3"/>
        <w:ind w:left="0" w:firstLine="0"/>
        <w:jc w:val="both"/>
        <w:rPr>
          <w:lang w:val="hr-HR"/>
        </w:rPr>
      </w:pPr>
      <w:r w:rsidRPr="00321ED7">
        <w:rPr>
          <w:lang w:val="hr-HR"/>
        </w:rPr>
        <w:t>Ako se vrednovanje temelji na javno objavljenim cijenama, Agent vrednovanja određuje relevantne iznose koristeći, prema svom izboru, dostupne informacijske sustave (npr. Bloomberg,</w:t>
      </w:r>
      <w:r w:rsidR="00AC597C" w:rsidRPr="00321ED7">
        <w:rPr>
          <w:lang w:val="hr-HR"/>
        </w:rPr>
        <w:t xml:space="preserve"> Refinitiv</w:t>
      </w:r>
      <w:r w:rsidRPr="00321ED7">
        <w:rPr>
          <w:lang w:val="hr-HR"/>
        </w:rPr>
        <w:t xml:space="preserve">) ili na neki drugi način. </w:t>
      </w:r>
    </w:p>
    <w:p w14:paraId="313940E0" w14:textId="77777777" w:rsidR="00383D69" w:rsidRPr="00321ED7" w:rsidRDefault="00383D69">
      <w:pPr>
        <w:pStyle w:val="BodyTextIndent3"/>
        <w:ind w:left="0" w:firstLine="0"/>
        <w:jc w:val="both"/>
        <w:rPr>
          <w:lang w:val="hr-HR"/>
        </w:rPr>
      </w:pPr>
    </w:p>
    <w:p w14:paraId="7C7A9C4D" w14:textId="77777777" w:rsidR="00383D69" w:rsidRPr="00321ED7" w:rsidRDefault="00383D69">
      <w:pPr>
        <w:tabs>
          <w:tab w:val="left" w:pos="284"/>
        </w:tabs>
        <w:jc w:val="both"/>
        <w:rPr>
          <w:rFonts w:cs="Arial"/>
          <w:sz w:val="20"/>
          <w:lang w:val="hr-HR"/>
        </w:rPr>
      </w:pPr>
      <w:r w:rsidRPr="00321ED7">
        <w:rPr>
          <w:sz w:val="20"/>
          <w:lang w:val="hr-HR"/>
        </w:rPr>
        <w:t>(3) Agent vrednovanja dužan je o rezultatima vrednovanja obavijestiti ugovorne strane (odnosno, ako je jedna ugovorna strana Agent vrednovanja, drugu ugovornu stranu) na Datum slanja obavijesti, i to najkasnije do vremena utvrđenog u članku 12.(8) ovog Dodatka, putem elektronske pošte ili na bilo koji drugi odgovarajući način</w:t>
      </w:r>
      <w:r w:rsidRPr="00321ED7">
        <w:rPr>
          <w:rFonts w:cs="Arial"/>
          <w:sz w:val="20"/>
          <w:lang w:val="hr-HR"/>
        </w:rPr>
        <w:t xml:space="preserve">. </w:t>
      </w:r>
    </w:p>
    <w:p w14:paraId="06CB2864" w14:textId="77777777" w:rsidR="00383D69" w:rsidRPr="00321ED7" w:rsidRDefault="00383D69">
      <w:pPr>
        <w:tabs>
          <w:tab w:val="left" w:pos="426"/>
        </w:tabs>
        <w:jc w:val="both"/>
        <w:rPr>
          <w:sz w:val="20"/>
          <w:lang w:val="hr-HR"/>
        </w:rPr>
      </w:pPr>
    </w:p>
    <w:p w14:paraId="3AD945E4" w14:textId="77777777" w:rsidR="00383D69" w:rsidRPr="00321ED7" w:rsidRDefault="00383D69">
      <w:pPr>
        <w:pStyle w:val="BodyText"/>
        <w:tabs>
          <w:tab w:val="left" w:pos="426"/>
        </w:tabs>
        <w:rPr>
          <w:sz w:val="20"/>
          <w:lang w:val="hr-HR"/>
        </w:rPr>
      </w:pPr>
      <w:r w:rsidRPr="00321ED7">
        <w:rPr>
          <w:sz w:val="20"/>
          <w:lang w:val="hr-HR"/>
        </w:rPr>
        <w:t>(4) Ako jedna ugovorna strana bez neopravdanog odlaganja prigovori vrednovanju Agenta vrednovanja te ako, u slučaju neslaganja u pogledu Izloženosti ili Vrijednosti, ne bude postignut dogovor do kraja Radnog dana u toku kojeg je prigovor primljen, sporne Transakcije ili Instrumenti osiguranja ponovno će se vrednovati u skladu s odredbama stavaka (5) (b) ili (6) ovog članka. Ponovno vrednovanje neće imati utjecaja na prijenos u skladu s člancima 4. i 5. ovog Dodatka nespornog dijela manjka pokrića ili viška pokrića koji je utvrdio Agent vrednovanja.</w:t>
      </w:r>
    </w:p>
    <w:p w14:paraId="3C5B1332" w14:textId="77777777" w:rsidR="00383D69" w:rsidRPr="00321ED7" w:rsidRDefault="00383D69">
      <w:pPr>
        <w:pStyle w:val="BodyText"/>
        <w:tabs>
          <w:tab w:val="left" w:pos="426"/>
        </w:tabs>
        <w:rPr>
          <w:sz w:val="20"/>
          <w:lang w:val="hr-HR"/>
        </w:rPr>
      </w:pPr>
    </w:p>
    <w:p w14:paraId="0CFC3710" w14:textId="77777777" w:rsidR="00383D69" w:rsidRPr="00321ED7" w:rsidRDefault="00383D69">
      <w:pPr>
        <w:pStyle w:val="BodyText"/>
        <w:tabs>
          <w:tab w:val="left" w:pos="426"/>
        </w:tabs>
        <w:rPr>
          <w:sz w:val="20"/>
          <w:lang w:val="hr-HR"/>
        </w:rPr>
      </w:pPr>
      <w:r w:rsidRPr="00321ED7">
        <w:rPr>
          <w:sz w:val="20"/>
          <w:lang w:val="hr-HR"/>
        </w:rPr>
        <w:t>(5) (a) Ako razlika između Izloženosti odnosno Vrijednosti koju je utvrdio Agent vrednovanja i Izloženosti odnosno Vrijednosti koju je utvrdila ugovorna strana koja podnosi prigovor (“Preostali iznos”) premašuje iznos definiran u članku 12.(12) ovog Dodatka (“Alternativni iznos”), ugovorne strane će na zahtjev Agenta vrednovanja istog Radnog dana jedna drugoj dostaviti, elektronskom poštom ili na bilo koji drugi odgovarajući način, izračun u kojem će detaljno specificirati pojedinosti o Vrijednosti i Izloženosti.</w:t>
      </w:r>
    </w:p>
    <w:p w14:paraId="42D928BE" w14:textId="77777777" w:rsidR="00383D69" w:rsidRPr="00321ED7" w:rsidRDefault="00383D69">
      <w:pPr>
        <w:pStyle w:val="BodyText"/>
        <w:tabs>
          <w:tab w:val="left" w:pos="426"/>
        </w:tabs>
        <w:rPr>
          <w:sz w:val="20"/>
          <w:lang w:val="hr-HR"/>
        </w:rPr>
      </w:pPr>
    </w:p>
    <w:p w14:paraId="1FFCE940" w14:textId="77777777" w:rsidR="00383D69" w:rsidRPr="00321ED7" w:rsidRDefault="00383D69">
      <w:pPr>
        <w:pStyle w:val="BodyText"/>
        <w:tabs>
          <w:tab w:val="left" w:pos="426"/>
        </w:tabs>
        <w:rPr>
          <w:sz w:val="20"/>
          <w:lang w:val="hr-HR"/>
        </w:rPr>
      </w:pPr>
      <w:r w:rsidRPr="00321ED7">
        <w:rPr>
          <w:sz w:val="20"/>
          <w:lang w:val="hr-HR"/>
        </w:rPr>
        <w:t>(b) U slučaju da je Preostali iznos jednak Alternativnom iznosu ili manji od njega, Agent vrednovanja ponovo će izračunati Izloženost ili Vrijednost na temelju aritmetičke sredine tržišnih cijena za relevantne Transakcije i/ili Instrumente osiguranja korištenih od strane Agenta vrednovanja prilikom vrednovanja u skladu s odredbom članka 7.(2) ovog Dodatka, s jedne strane, i ugovorne strane koja je podnijela prigovor u skladu s odredbom članka 7.(4) ovog Dodatka, s druge strane. Agent vrednovanja dužan je obavijestiti ugovorne strane (odnosno, ako je jedna ugovorna strana Agent vrednovanja, drugu ugovornu stranu) u toku istog Radnog dana o tako izračunatoj Izloženosti ili Vrijednosti.</w:t>
      </w:r>
    </w:p>
    <w:p w14:paraId="448D0920" w14:textId="77777777" w:rsidR="00383D69" w:rsidRPr="00321ED7" w:rsidRDefault="00383D69">
      <w:pPr>
        <w:pStyle w:val="BodyText"/>
        <w:tabs>
          <w:tab w:val="left" w:pos="426"/>
        </w:tabs>
        <w:rPr>
          <w:sz w:val="20"/>
          <w:lang w:val="hr-HR"/>
        </w:rPr>
      </w:pPr>
    </w:p>
    <w:p w14:paraId="71A3F866" w14:textId="77777777" w:rsidR="00383D69" w:rsidRPr="00321ED7" w:rsidRDefault="00383D69">
      <w:pPr>
        <w:pStyle w:val="BodyText"/>
        <w:tabs>
          <w:tab w:val="left" w:pos="426"/>
        </w:tabs>
        <w:rPr>
          <w:rFonts w:cs="Arial"/>
          <w:sz w:val="20"/>
          <w:lang w:val="hr-HR"/>
        </w:rPr>
      </w:pPr>
      <w:r w:rsidRPr="00321ED7">
        <w:rPr>
          <w:sz w:val="20"/>
          <w:lang w:val="hr-HR"/>
        </w:rPr>
        <w:t>(6) Ako ugovorne strane ne postignu dogovor sukladno odredbi članka 7.(4) ovog Dodatka, Agent vrednovanja ponovo će vrednovati Transakcije na temelju aritmetičke sredine tržišnih cijena za relevantne Transakcije i/ili Instrumente osiguranja. Parametre za izračun Tržišne cijene i Srednje cijene Agent vrednovanja će pribaviti od četiri referentne banke, od kojih će svaka ugovorna strana imenovati po dvije, najkasnije do 14:00 sati prvog Radnog dana nakon Radnog dana u kojem je prigovor zaprimljen. Agent vrednovanja će o rezultatima obavijestiti ugovorne strane (odnosno, ako je jedna ugovorna strana Agent vrednovanja, drugu ugovornu stranu) najkasnije do kraja Radnog dana putem elektronske pošte ili na drugi sličan način. Nakon provedenog ponovnog vrednovanja, prijenos Instrumenta osiguranja provest će se odgovarajućom primjenom odredbe članka 4., odnosno, članka 5. ovog Dodatka</w:t>
      </w:r>
      <w:r w:rsidRPr="00321ED7">
        <w:rPr>
          <w:rFonts w:cs="Arial"/>
          <w:sz w:val="20"/>
          <w:lang w:val="hr-HR"/>
        </w:rPr>
        <w:t>, pri čemu se minimalni iznosi prijenosa iz odredbe članka12.(4) ovog Dodatka neće primjenjivati.</w:t>
      </w:r>
    </w:p>
    <w:p w14:paraId="3A7D50D9" w14:textId="77777777" w:rsidR="00383D69" w:rsidRPr="00321ED7" w:rsidRDefault="00383D69">
      <w:pPr>
        <w:pStyle w:val="BodyText"/>
        <w:tabs>
          <w:tab w:val="left" w:pos="426"/>
        </w:tabs>
        <w:rPr>
          <w:sz w:val="20"/>
          <w:lang w:val="hr-HR"/>
        </w:rPr>
      </w:pPr>
    </w:p>
    <w:p w14:paraId="74936EF8" w14:textId="77777777" w:rsidR="00383D69" w:rsidRPr="00321ED7" w:rsidRDefault="00383D69">
      <w:pPr>
        <w:pStyle w:val="BodyText"/>
        <w:tabs>
          <w:tab w:val="left" w:pos="426"/>
        </w:tabs>
        <w:rPr>
          <w:sz w:val="20"/>
          <w:lang w:val="hr-HR"/>
        </w:rPr>
      </w:pPr>
      <w:r w:rsidRPr="00321ED7">
        <w:rPr>
          <w:sz w:val="20"/>
          <w:lang w:val="hr-HR"/>
        </w:rPr>
        <w:t xml:space="preserve">(7) Prijenosi navedeni u stavku (4), rečenici 2. i stavku (6), rečenici 4. ovog članka, bit će provedeni neovisno o minimalnom iznosu prijenosa utvrđenom za onu ugovornu stranu koja je obvezna prenijeti Instrument osiguranja. </w:t>
      </w:r>
    </w:p>
    <w:p w14:paraId="57150DA3" w14:textId="77777777" w:rsidR="00383D69" w:rsidRPr="00321ED7" w:rsidRDefault="00383D69">
      <w:pPr>
        <w:tabs>
          <w:tab w:val="left" w:pos="-1985"/>
          <w:tab w:val="left" w:pos="426"/>
        </w:tabs>
        <w:jc w:val="both"/>
        <w:rPr>
          <w:sz w:val="20"/>
          <w:lang w:val="hr-HR"/>
        </w:rPr>
      </w:pPr>
    </w:p>
    <w:p w14:paraId="5DB915A2" w14:textId="77777777" w:rsidR="00383D69" w:rsidRPr="00321ED7" w:rsidRDefault="00383D69">
      <w:pPr>
        <w:tabs>
          <w:tab w:val="left" w:pos="-1985"/>
          <w:tab w:val="left" w:pos="426"/>
        </w:tabs>
        <w:jc w:val="both"/>
        <w:rPr>
          <w:sz w:val="20"/>
          <w:lang w:val="hr-HR"/>
        </w:rPr>
      </w:pPr>
    </w:p>
    <w:p w14:paraId="207FC584" w14:textId="77777777" w:rsidR="00383D69" w:rsidRPr="00321ED7" w:rsidRDefault="00383D69">
      <w:pPr>
        <w:tabs>
          <w:tab w:val="left" w:pos="-1985"/>
          <w:tab w:val="left" w:pos="426"/>
        </w:tabs>
        <w:jc w:val="both"/>
        <w:rPr>
          <w:b/>
          <w:sz w:val="20"/>
          <w:lang w:val="hr-HR"/>
        </w:rPr>
      </w:pPr>
      <w:r w:rsidRPr="00321ED7">
        <w:rPr>
          <w:b/>
          <w:sz w:val="20"/>
          <w:lang w:val="hr-HR"/>
        </w:rPr>
        <w:t xml:space="preserve">8. Zamjena Instrumenta osiguranja </w:t>
      </w:r>
    </w:p>
    <w:p w14:paraId="60C90E60" w14:textId="77777777" w:rsidR="00383D69" w:rsidRPr="00321ED7" w:rsidRDefault="00383D69">
      <w:pPr>
        <w:pStyle w:val="BodyText2"/>
        <w:ind w:left="0" w:firstLine="0"/>
        <w:jc w:val="both"/>
        <w:rPr>
          <w:lang w:val="hr-HR"/>
        </w:rPr>
      </w:pPr>
    </w:p>
    <w:p w14:paraId="1C396646" w14:textId="77777777" w:rsidR="00383D69" w:rsidRPr="00321ED7" w:rsidRDefault="00383D69">
      <w:pPr>
        <w:tabs>
          <w:tab w:val="left" w:pos="-1985"/>
          <w:tab w:val="left" w:pos="426"/>
        </w:tabs>
        <w:jc w:val="both"/>
        <w:rPr>
          <w:sz w:val="20"/>
          <w:lang w:val="it-IT"/>
        </w:rPr>
      </w:pPr>
      <w:r w:rsidRPr="00321ED7">
        <w:rPr>
          <w:sz w:val="20"/>
          <w:lang w:val="hr-HR"/>
        </w:rPr>
        <w:t xml:space="preserve">Uz prethodnu suglasnost Osigurane strane, Davatelj osiguranja ima pravo zamijeniti, djelomično ili u cijelosti, Instrument osiguranja prenesen sukladno ovom Dodatku drugim Novcem kao instrumentom osiguranja ili Vrijednosnim papirima kao instrumentima osiguranja iste ili više Vrijednosti. Navedena zamjena provodi se po načelu </w:t>
      </w:r>
      <w:r w:rsidRPr="00321ED7">
        <w:rPr>
          <w:i/>
          <w:sz w:val="20"/>
          <w:lang w:val="it-IT"/>
        </w:rPr>
        <w:t>delivery</w:t>
      </w:r>
      <w:r w:rsidRPr="00321ED7">
        <w:rPr>
          <w:i/>
          <w:sz w:val="20"/>
          <w:lang w:val="hr-HR"/>
        </w:rPr>
        <w:t>-</w:t>
      </w:r>
      <w:r w:rsidRPr="00321ED7">
        <w:rPr>
          <w:i/>
          <w:sz w:val="20"/>
          <w:lang w:val="it-IT"/>
        </w:rPr>
        <w:t>versus-delivery</w:t>
      </w:r>
      <w:r w:rsidRPr="00321ED7">
        <w:rPr>
          <w:sz w:val="20"/>
          <w:lang w:val="it-IT"/>
        </w:rPr>
        <w:t>.</w:t>
      </w:r>
    </w:p>
    <w:p w14:paraId="61154666" w14:textId="77777777" w:rsidR="00383D69" w:rsidRPr="00321ED7" w:rsidRDefault="00383D69">
      <w:pPr>
        <w:tabs>
          <w:tab w:val="left" w:pos="-1985"/>
          <w:tab w:val="left" w:pos="426"/>
        </w:tabs>
        <w:jc w:val="both"/>
        <w:rPr>
          <w:sz w:val="20"/>
          <w:lang w:val="hr-HR"/>
        </w:rPr>
      </w:pPr>
    </w:p>
    <w:p w14:paraId="083A8F06" w14:textId="77777777" w:rsidR="00383D69" w:rsidRPr="00321ED7" w:rsidRDefault="00383D69">
      <w:pPr>
        <w:tabs>
          <w:tab w:val="left" w:pos="-1985"/>
          <w:tab w:val="left" w:pos="426"/>
        </w:tabs>
        <w:jc w:val="both"/>
        <w:rPr>
          <w:sz w:val="20"/>
          <w:lang w:val="hr-HR"/>
        </w:rPr>
      </w:pPr>
    </w:p>
    <w:p w14:paraId="498D9619" w14:textId="77777777" w:rsidR="00383D69" w:rsidRPr="00321ED7" w:rsidRDefault="00383D69">
      <w:pPr>
        <w:tabs>
          <w:tab w:val="left" w:pos="-1985"/>
          <w:tab w:val="left" w:pos="426"/>
        </w:tabs>
        <w:jc w:val="both"/>
        <w:rPr>
          <w:b/>
          <w:sz w:val="20"/>
          <w:lang w:val="hr-HR"/>
        </w:rPr>
      </w:pPr>
      <w:r w:rsidRPr="00321ED7">
        <w:rPr>
          <w:b/>
          <w:sz w:val="20"/>
          <w:lang w:val="hr-HR"/>
        </w:rPr>
        <w:t xml:space="preserve">9. Kamata na Instrumente osiguranja </w:t>
      </w:r>
    </w:p>
    <w:p w14:paraId="57C40A68" w14:textId="77777777" w:rsidR="00383D69" w:rsidRPr="00321ED7" w:rsidRDefault="00383D69">
      <w:pPr>
        <w:tabs>
          <w:tab w:val="left" w:pos="-1985"/>
          <w:tab w:val="left" w:pos="426"/>
        </w:tabs>
        <w:jc w:val="both"/>
        <w:rPr>
          <w:sz w:val="20"/>
          <w:u w:val="single"/>
          <w:lang w:val="hr-HR"/>
        </w:rPr>
      </w:pPr>
    </w:p>
    <w:p w14:paraId="16D02302" w14:textId="77777777" w:rsidR="00383D69" w:rsidRPr="00321ED7" w:rsidRDefault="00383D69">
      <w:pPr>
        <w:jc w:val="both"/>
        <w:rPr>
          <w:sz w:val="20"/>
          <w:lang w:val="hr-HR"/>
        </w:rPr>
      </w:pPr>
      <w:r w:rsidRPr="00321ED7">
        <w:rPr>
          <w:sz w:val="20"/>
          <w:lang w:val="hr-HR"/>
        </w:rPr>
        <w:t xml:space="preserve">(1) Osigurana strana dužna je plaćati kamatu na Novac kao instrument osiguranja za kamatna razdoblja i po kamatnoj stopi utvrđenim u članku 12.(9) i (10) ovog Dodatka. Kamata za proteklo kamatno razdoblje dospijeva i plaća se drugog Radnog dana po isteku tog kamatnog razdoblja uplatom na račun Davatelja osiguranja naveden u članku 12.(2) ovog Dodatka. </w:t>
      </w:r>
    </w:p>
    <w:p w14:paraId="49DBB46E" w14:textId="77777777" w:rsidR="00383D69" w:rsidRPr="00321ED7" w:rsidRDefault="00383D69">
      <w:pPr>
        <w:jc w:val="both"/>
        <w:rPr>
          <w:sz w:val="20"/>
          <w:lang w:val="hr-HR"/>
        </w:rPr>
      </w:pPr>
      <w:r w:rsidRPr="00321ED7">
        <w:rPr>
          <w:sz w:val="20"/>
          <w:lang w:val="hr-HR"/>
        </w:rPr>
        <w:lastRenderedPageBreak/>
        <w:t>Ako je Osigurana strana dužna izvršiti prijenos sukladno članku 5.(1) ovog Dodatka svog Novca kao instrumenta osiguranja koji drži, dužna je platiti i kamatu drugog Radnog dana po isteku kamatnog razdoblja uplatom na bankovni račun Davatelja osiguranja naveden u članku 12.(2) ovog Dodatka.</w:t>
      </w:r>
    </w:p>
    <w:p w14:paraId="0CA5BC5A" w14:textId="77777777" w:rsidR="00383D69" w:rsidRPr="00321ED7" w:rsidRDefault="00383D69">
      <w:pPr>
        <w:tabs>
          <w:tab w:val="left" w:pos="-1985"/>
          <w:tab w:val="left" w:pos="426"/>
          <w:tab w:val="left" w:pos="1425"/>
        </w:tabs>
        <w:jc w:val="both"/>
        <w:rPr>
          <w:sz w:val="20"/>
          <w:lang w:val="hr-HR"/>
        </w:rPr>
      </w:pPr>
    </w:p>
    <w:p w14:paraId="4D377ABF" w14:textId="77777777" w:rsidR="00383D69" w:rsidRPr="00321ED7" w:rsidRDefault="00383D69">
      <w:pPr>
        <w:tabs>
          <w:tab w:val="left" w:pos="-1985"/>
          <w:tab w:val="left" w:pos="426"/>
        </w:tabs>
        <w:jc w:val="both"/>
        <w:rPr>
          <w:sz w:val="20"/>
          <w:lang w:val="hr-HR"/>
        </w:rPr>
      </w:pPr>
      <w:r w:rsidRPr="00321ED7">
        <w:rPr>
          <w:sz w:val="20"/>
          <w:lang w:val="hr-HR"/>
        </w:rPr>
        <w:t>(2) Kada se radi o Vrijednosnim papirima kao instrumentima osiguranja, Davatelj osiguranja ima pravo na kamatu i ostale novčane primitke koje je Osigurana strana naplatila temeljem tog Instrumenta osiguranja. Osigurana strana dužna je proslijediti naplaćeni iznos na račun Davatelja osiguranja naveden u članku 12.(2) ovog Dodatka u punom iznosu na dan na koji ga je izdavatelj Vrijednosnog papira kao instrumenta osiguranja isplatio. Ako isplata kamate i ostalih novčanih primitaka Osiguranoj strani podliježe porezu po odbitku ili rezultira odbitkom od porezne obveze, Osigurana strana bit će dužna isplatiti Davatelju osiguranja cijeli iznos koji bi Davatelj osiguranja naplatio kao imatelj Vrijednosnih papira kao instrumenata osiguranja da ih temeljem ovog Dodatka nije prenio Osiguranoj strani na temelju ostvarenog povrata uplaćenog poreza ili odbitka od porezne obveze.</w:t>
      </w:r>
    </w:p>
    <w:p w14:paraId="646CD81D" w14:textId="77777777" w:rsidR="00383D69" w:rsidRPr="00321ED7" w:rsidRDefault="00383D69">
      <w:pPr>
        <w:tabs>
          <w:tab w:val="left" w:pos="-1985"/>
          <w:tab w:val="left" w:pos="426"/>
        </w:tabs>
        <w:jc w:val="both"/>
        <w:rPr>
          <w:sz w:val="20"/>
          <w:lang w:val="hr-HR"/>
        </w:rPr>
      </w:pPr>
    </w:p>
    <w:p w14:paraId="3EABAB80" w14:textId="77777777" w:rsidR="00383D69" w:rsidRPr="00321ED7" w:rsidRDefault="00383D69">
      <w:pPr>
        <w:tabs>
          <w:tab w:val="left" w:pos="-1985"/>
          <w:tab w:val="left" w:pos="426"/>
        </w:tabs>
        <w:jc w:val="both"/>
        <w:rPr>
          <w:sz w:val="20"/>
          <w:lang w:val="hr-HR"/>
        </w:rPr>
      </w:pPr>
    </w:p>
    <w:p w14:paraId="5ADF149B" w14:textId="77777777" w:rsidR="00383D69" w:rsidRPr="00321ED7" w:rsidRDefault="00383D69">
      <w:pPr>
        <w:tabs>
          <w:tab w:val="left" w:pos="-1985"/>
          <w:tab w:val="left" w:pos="426"/>
        </w:tabs>
        <w:jc w:val="both"/>
        <w:rPr>
          <w:b/>
          <w:sz w:val="20"/>
          <w:lang w:val="hr-HR"/>
        </w:rPr>
      </w:pPr>
      <w:r w:rsidRPr="00321ED7">
        <w:rPr>
          <w:b/>
          <w:sz w:val="20"/>
          <w:lang w:val="hr-HR"/>
        </w:rPr>
        <w:t xml:space="preserve">10. Raskid Ugovora </w:t>
      </w:r>
    </w:p>
    <w:p w14:paraId="3B26669C" w14:textId="77777777" w:rsidR="00383D69" w:rsidRPr="00321ED7" w:rsidRDefault="00383D69">
      <w:pPr>
        <w:tabs>
          <w:tab w:val="left" w:pos="-1985"/>
          <w:tab w:val="left" w:pos="426"/>
        </w:tabs>
        <w:jc w:val="both"/>
        <w:rPr>
          <w:b/>
          <w:sz w:val="20"/>
          <w:lang w:val="hr-HR"/>
        </w:rPr>
      </w:pPr>
    </w:p>
    <w:p w14:paraId="4B3B4284" w14:textId="77777777" w:rsidR="00383D69" w:rsidRPr="00321ED7" w:rsidRDefault="00383D69">
      <w:pPr>
        <w:jc w:val="both"/>
        <w:rPr>
          <w:rFonts w:cs="Arial"/>
          <w:sz w:val="20"/>
          <w:lang w:val="hr-HR"/>
        </w:rPr>
      </w:pPr>
      <w:r w:rsidRPr="00321ED7">
        <w:rPr>
          <w:sz w:val="20"/>
          <w:lang w:val="hr-HR"/>
        </w:rPr>
        <w:t>(1) Ukoliko dođe do raskida Ugovora ili nastupa raskidnog uvjeta u skladu s člankom 7. Okvirnog ugovora, ugovorna strana koja ima pravo na naknadu štete dužna je, bez neopravdanog odlaganja, izvršiti vrednovanje svih Instrumenata osiguranja koji su joj preneseni sukladno članku 4. ovog Dodatka, a koji nisu preneseni Davatelju osiguranja sukladno članku 5.(1) ovog Dodatka. Tako utvrđeni iznosi bit će uključeni kao odbitna stavka prilikom izračuna jedinstvenog potraživanja sukladno članku</w:t>
      </w:r>
      <w:r w:rsidRPr="00321ED7">
        <w:rPr>
          <w:rFonts w:cs="Arial"/>
          <w:sz w:val="20"/>
          <w:lang w:val="hr-HR"/>
        </w:rPr>
        <w:t xml:space="preserve"> 8. i 9. Okvirnog ugovora. Istovremeno, prestaju sva potraživanja ugovornih strana u pogledu prijenosa novčanih iznosa ili vrijednosnih papira sukladno člancima 4. i 5. ovog Dodatka. U tom slučaju nije potrebno dostaviti prethodnu obavijest o navedenom.</w:t>
      </w:r>
    </w:p>
    <w:p w14:paraId="3B73A59C" w14:textId="77777777" w:rsidR="00383D69" w:rsidRPr="00321ED7" w:rsidRDefault="00383D69">
      <w:pPr>
        <w:jc w:val="both"/>
        <w:rPr>
          <w:rFonts w:cs="Arial"/>
          <w:sz w:val="20"/>
          <w:lang w:val="hr-HR"/>
        </w:rPr>
      </w:pPr>
    </w:p>
    <w:p w14:paraId="5EA51B7A" w14:textId="350DFD99" w:rsidR="00383D69" w:rsidRPr="00321ED7" w:rsidRDefault="00383D69">
      <w:pPr>
        <w:jc w:val="both"/>
        <w:rPr>
          <w:sz w:val="20"/>
          <w:lang w:val="hr-HR"/>
        </w:rPr>
      </w:pPr>
      <w:r w:rsidRPr="00321ED7">
        <w:rPr>
          <w:sz w:val="20"/>
          <w:lang w:val="hr-HR"/>
        </w:rPr>
        <w:t xml:space="preserve">(2) Sav Novac kao instrument osiguranja vrednovat će se prema svojoj nominalnoj vrijednosti uvećanoj za obračunatu kamatu do trenutka raskida </w:t>
      </w:r>
      <w:r w:rsidRPr="00321ED7">
        <w:rPr>
          <w:rFonts w:cs="Arial"/>
          <w:sz w:val="20"/>
          <w:lang w:val="hr-HR"/>
        </w:rPr>
        <w:t>U</w:t>
      </w:r>
      <w:r w:rsidRPr="00321ED7">
        <w:rPr>
          <w:sz w:val="20"/>
          <w:lang w:val="hr-HR"/>
        </w:rPr>
        <w:t xml:space="preserve">govora, a Vrijednosni papiri kao instrumenti osiguranja vrednovat će se po cijeni koju Osigurana strana ostvari ili može ostvariti prodajom ekvivalentnih vrijednosnih papira (članak 5.(1) ovog Dodatka). Ako ugovorna strana koja ima pravo na naknadu štete tako odluči, iznos koji bi Osigurana strana mogla ostvariti odmah po raskidu </w:t>
      </w:r>
      <w:r w:rsidRPr="00321ED7">
        <w:rPr>
          <w:rFonts w:cs="Arial"/>
          <w:sz w:val="20"/>
          <w:lang w:val="hr-HR"/>
        </w:rPr>
        <w:t>U</w:t>
      </w:r>
      <w:r w:rsidRPr="00321ED7">
        <w:rPr>
          <w:sz w:val="20"/>
          <w:lang w:val="hr-HR"/>
        </w:rPr>
        <w:t>govora ili nastupu raskidnog uvjeta takvom prodajom uzimajući u obzir stečenu kamatu (</w:t>
      </w:r>
      <w:r w:rsidRPr="00321ED7">
        <w:rPr>
          <w:i/>
          <w:sz w:val="20"/>
          <w:lang w:val="hr-HR"/>
        </w:rPr>
        <w:t>accrued interest</w:t>
      </w:r>
      <w:r w:rsidRPr="00321ED7">
        <w:rPr>
          <w:sz w:val="20"/>
          <w:lang w:val="hr-HR"/>
        </w:rPr>
        <w:t>) koja pripada Davatelju osiguranja, koristit će se umjesto stvarnog utrška. Ako prethodno navedeni iznosi nisu iskazani u</w:t>
      </w:r>
      <w:r w:rsidR="00FC4F17" w:rsidRPr="00321ED7">
        <w:rPr>
          <w:sz w:val="20"/>
          <w:lang w:val="hr-HR"/>
        </w:rPr>
        <w:t xml:space="preserve"> </w:t>
      </w:r>
      <w:r w:rsidR="00EB23BF" w:rsidRPr="00321ED7">
        <w:rPr>
          <w:sz w:val="20"/>
          <w:lang w:val="hr-HR"/>
        </w:rPr>
        <w:t>eurima</w:t>
      </w:r>
      <w:r w:rsidRPr="00321ED7">
        <w:rPr>
          <w:sz w:val="20"/>
          <w:lang w:val="hr-HR"/>
        </w:rPr>
        <w:t xml:space="preserve">, Osigurana strana preračunat će ih u </w:t>
      </w:r>
      <w:r w:rsidR="00EB23BF" w:rsidRPr="00321ED7">
        <w:rPr>
          <w:sz w:val="20"/>
          <w:lang w:val="hr-HR"/>
        </w:rPr>
        <w:t>eure</w:t>
      </w:r>
      <w:r w:rsidR="00A93764" w:rsidRPr="00321ED7">
        <w:rPr>
          <w:sz w:val="20"/>
          <w:lang w:val="hr-HR"/>
        </w:rPr>
        <w:t xml:space="preserve"> </w:t>
      </w:r>
      <w:r w:rsidRPr="00321ED7">
        <w:rPr>
          <w:sz w:val="20"/>
          <w:lang w:val="hr-HR"/>
        </w:rPr>
        <w:t xml:space="preserve">po srednjem tečaju HNB-a na dan raskida </w:t>
      </w:r>
      <w:r w:rsidRPr="00321ED7">
        <w:rPr>
          <w:rFonts w:cs="Arial"/>
          <w:sz w:val="20"/>
          <w:lang w:val="hr-HR"/>
        </w:rPr>
        <w:t>U</w:t>
      </w:r>
      <w:r w:rsidRPr="00321ED7">
        <w:rPr>
          <w:sz w:val="20"/>
          <w:lang w:val="hr-HR"/>
        </w:rPr>
        <w:t>govora.</w:t>
      </w:r>
    </w:p>
    <w:p w14:paraId="7F1BEDEF" w14:textId="77777777" w:rsidR="00383D69" w:rsidRPr="00321ED7" w:rsidRDefault="00383D69">
      <w:pPr>
        <w:tabs>
          <w:tab w:val="left" w:pos="-1985"/>
          <w:tab w:val="left" w:pos="426"/>
        </w:tabs>
        <w:jc w:val="both"/>
        <w:rPr>
          <w:sz w:val="20"/>
          <w:lang w:val="hr-HR"/>
        </w:rPr>
      </w:pPr>
    </w:p>
    <w:p w14:paraId="6D83E920" w14:textId="77777777" w:rsidR="00383D69" w:rsidRPr="00321ED7" w:rsidRDefault="00383D69">
      <w:pPr>
        <w:tabs>
          <w:tab w:val="left" w:pos="-1985"/>
          <w:tab w:val="left" w:pos="426"/>
        </w:tabs>
        <w:jc w:val="both"/>
        <w:rPr>
          <w:sz w:val="20"/>
          <w:lang w:val="hr-HR"/>
        </w:rPr>
      </w:pPr>
    </w:p>
    <w:p w14:paraId="789361D7" w14:textId="77777777" w:rsidR="00383D69" w:rsidRPr="00321ED7" w:rsidRDefault="00383D69">
      <w:pPr>
        <w:tabs>
          <w:tab w:val="left" w:pos="-1985"/>
          <w:tab w:val="left" w:pos="426"/>
        </w:tabs>
        <w:jc w:val="both"/>
        <w:rPr>
          <w:b/>
          <w:sz w:val="20"/>
          <w:lang w:val="hr-HR"/>
        </w:rPr>
      </w:pPr>
      <w:r w:rsidRPr="00321ED7">
        <w:rPr>
          <w:b/>
          <w:sz w:val="20"/>
          <w:lang w:val="hr-HR"/>
        </w:rPr>
        <w:t xml:space="preserve">11. Nedostavljanje Instrumenta osiguranja </w:t>
      </w:r>
    </w:p>
    <w:p w14:paraId="491D60A1" w14:textId="77777777" w:rsidR="00383D69" w:rsidRPr="00321ED7" w:rsidRDefault="00383D69">
      <w:pPr>
        <w:tabs>
          <w:tab w:val="left" w:pos="-1985"/>
          <w:tab w:val="left" w:pos="426"/>
        </w:tabs>
        <w:jc w:val="both"/>
        <w:rPr>
          <w:b/>
          <w:sz w:val="20"/>
          <w:u w:val="single"/>
          <w:lang w:val="hr-HR"/>
        </w:rPr>
      </w:pPr>
    </w:p>
    <w:p w14:paraId="0710CD25" w14:textId="77777777" w:rsidR="00383D69" w:rsidRPr="00321ED7" w:rsidRDefault="00383D69">
      <w:pPr>
        <w:tabs>
          <w:tab w:val="left" w:pos="-1985"/>
          <w:tab w:val="left" w:pos="426"/>
        </w:tabs>
        <w:jc w:val="both"/>
        <w:rPr>
          <w:sz w:val="20"/>
          <w:lang w:val="hr-HR"/>
        </w:rPr>
      </w:pPr>
      <w:r w:rsidRPr="00321ED7">
        <w:rPr>
          <w:sz w:val="20"/>
          <w:lang w:val="hr-HR"/>
        </w:rPr>
        <w:t>Ozbiljan razlog u smislu članka 7. Okvirnog ugovora također postoji ako ugovorna strana koja je dužna izvršiti prijenos sukladno člancima 4. i 5. ovog Dodatka ne izvrši takav prijenos ni u dodatnom roku od jednog Radnog dana nakon primitka obavijesti o neispunjenju obveze na prijenos Instrumenata osiguranja. Ako je ugovorna strana prigovorila vrednovanju koje je izvršio Agent vrednovanja sukladno članku 7.(4) ovog Dodatka, Ugovor je moguće raskinuti samo nakon neispunjenja obveze nastale nakon što su poduzeti koraci opisani u članku 7.(4) i (5) ovog Dodatka.</w:t>
      </w:r>
    </w:p>
    <w:p w14:paraId="2A9AB0F3" w14:textId="77777777" w:rsidR="00383D69" w:rsidRPr="00321ED7" w:rsidRDefault="00383D69">
      <w:pPr>
        <w:tabs>
          <w:tab w:val="left" w:pos="-1985"/>
          <w:tab w:val="left" w:pos="426"/>
        </w:tabs>
        <w:jc w:val="both"/>
        <w:rPr>
          <w:sz w:val="20"/>
          <w:lang w:val="hr-HR"/>
        </w:rPr>
      </w:pPr>
    </w:p>
    <w:p w14:paraId="0B833013" w14:textId="77777777" w:rsidR="00383D69" w:rsidRPr="00321ED7" w:rsidRDefault="00383D69">
      <w:pPr>
        <w:rPr>
          <w:sz w:val="20"/>
        </w:rPr>
      </w:pPr>
      <w:r w:rsidRPr="00321ED7">
        <w:rPr>
          <w:sz w:val="20"/>
        </w:rPr>
        <w:br w:type="column"/>
      </w:r>
    </w:p>
    <w:p w14:paraId="72DA4854" w14:textId="77777777" w:rsidR="00383D69" w:rsidRPr="00321ED7" w:rsidRDefault="00383D69">
      <w:pPr>
        <w:tabs>
          <w:tab w:val="left" w:pos="-1985"/>
          <w:tab w:val="left" w:pos="426"/>
        </w:tabs>
        <w:rPr>
          <w:b/>
          <w:sz w:val="20"/>
          <w:lang w:val="hr-HR"/>
        </w:rPr>
        <w:sectPr w:rsidR="00383D69" w:rsidRPr="00321ED7">
          <w:type w:val="continuous"/>
          <w:pgSz w:w="11906" w:h="16838"/>
          <w:pgMar w:top="776" w:right="851" w:bottom="680" w:left="851" w:header="720" w:footer="708" w:gutter="0"/>
          <w:cols w:space="708"/>
          <w:docGrid w:linePitch="360"/>
        </w:sectPr>
      </w:pPr>
      <w:r w:rsidRPr="00321ED7">
        <w:rPr>
          <w:b/>
          <w:sz w:val="20"/>
          <w:lang w:val="hr-HR"/>
        </w:rPr>
        <w:t>12. Posebne odredbe</w:t>
      </w:r>
    </w:p>
    <w:p w14:paraId="3B15C53D" w14:textId="77777777" w:rsidR="00383D69" w:rsidRPr="00321ED7" w:rsidRDefault="00383D69">
      <w:pPr>
        <w:tabs>
          <w:tab w:val="left" w:pos="-1985"/>
          <w:tab w:val="left" w:pos="426"/>
        </w:tabs>
        <w:rPr>
          <w:b/>
          <w:sz w:val="20"/>
          <w:lang w:val="hr-HR"/>
        </w:rPr>
        <w:sectPr w:rsidR="00383D69" w:rsidRPr="00321ED7">
          <w:type w:val="continuous"/>
          <w:pgSz w:w="11906" w:h="16838"/>
          <w:pgMar w:top="776" w:right="851" w:bottom="680" w:left="851" w:header="720" w:footer="708" w:gutter="0"/>
          <w:cols w:num="2" w:space="720"/>
          <w:docGrid w:linePitch="360"/>
        </w:sectPr>
      </w:pPr>
    </w:p>
    <w:p w14:paraId="4D3C7F6A" w14:textId="77777777" w:rsidR="00383D69" w:rsidRPr="00321ED7" w:rsidRDefault="00383D69">
      <w:pPr>
        <w:tabs>
          <w:tab w:val="left" w:pos="-1985"/>
          <w:tab w:val="left" w:pos="426"/>
        </w:tabs>
        <w:rPr>
          <w:sz w:val="20"/>
          <w:lang w:val="hr-HR"/>
        </w:rPr>
      </w:pPr>
    </w:p>
    <w:p w14:paraId="24F0DF93" w14:textId="77777777" w:rsidR="00383D69" w:rsidRPr="00321ED7" w:rsidRDefault="00383D69">
      <w:pPr>
        <w:tabs>
          <w:tab w:val="left" w:pos="-1985"/>
          <w:tab w:val="left" w:pos="426"/>
        </w:tabs>
        <w:rPr>
          <w:sz w:val="20"/>
          <w:lang w:val="hr-HR"/>
        </w:rPr>
      </w:pPr>
      <w:r w:rsidRPr="00321ED7">
        <w:rPr>
          <w:sz w:val="20"/>
          <w:lang w:val="hr-HR"/>
        </w:rPr>
        <w:t xml:space="preserve">(1) Prihvatljivi instrumenti osiguranja: </w:t>
      </w:r>
    </w:p>
    <w:p w14:paraId="47BDCA9E" w14:textId="77777777" w:rsidR="00383D69" w:rsidRPr="00321ED7" w:rsidRDefault="00383D69">
      <w:pPr>
        <w:tabs>
          <w:tab w:val="left" w:pos="-1985"/>
          <w:tab w:val="left" w:pos="426"/>
        </w:tabs>
        <w:rPr>
          <w:sz w:val="20"/>
          <w:lang w:val="hr-HR"/>
        </w:rPr>
      </w:pPr>
    </w:p>
    <w:tbl>
      <w:tblPr>
        <w:tblW w:w="0" w:type="auto"/>
        <w:tblInd w:w="392" w:type="dxa"/>
        <w:tblLayout w:type="fixed"/>
        <w:tblLook w:val="0000" w:firstRow="0" w:lastRow="0" w:firstColumn="0" w:lastColumn="0" w:noHBand="0" w:noVBand="0"/>
      </w:tblPr>
      <w:tblGrid>
        <w:gridCol w:w="4536"/>
        <w:gridCol w:w="4536"/>
      </w:tblGrid>
      <w:tr w:rsidR="00383D69" w:rsidRPr="00321ED7" w14:paraId="3659FB77" w14:textId="77777777">
        <w:tc>
          <w:tcPr>
            <w:tcW w:w="4536" w:type="dxa"/>
            <w:shd w:val="clear" w:color="auto" w:fill="auto"/>
          </w:tcPr>
          <w:p w14:paraId="5712DC6C" w14:textId="77777777" w:rsidR="00383D69" w:rsidRPr="00321ED7" w:rsidRDefault="00383D69">
            <w:pPr>
              <w:pStyle w:val="Heading2"/>
              <w:snapToGrid w:val="0"/>
              <w:rPr>
                <w:sz w:val="20"/>
                <w:lang w:val="hr-HR"/>
              </w:rPr>
            </w:pPr>
            <w:r w:rsidRPr="00321ED7">
              <w:rPr>
                <w:sz w:val="20"/>
                <w:lang w:val="hr-HR"/>
              </w:rPr>
              <w:t xml:space="preserve">Novac kao instrument osiguranja </w:t>
            </w:r>
          </w:p>
        </w:tc>
        <w:tc>
          <w:tcPr>
            <w:tcW w:w="4536" w:type="dxa"/>
            <w:shd w:val="clear" w:color="auto" w:fill="auto"/>
          </w:tcPr>
          <w:p w14:paraId="099F10F3" w14:textId="77777777" w:rsidR="00383D69" w:rsidRPr="00321ED7" w:rsidRDefault="00383D69">
            <w:pPr>
              <w:pStyle w:val="Heading2"/>
              <w:snapToGrid w:val="0"/>
              <w:ind w:left="1310" w:firstLine="0"/>
              <w:rPr>
                <w:sz w:val="20"/>
                <w:lang w:val="hr-HR"/>
              </w:rPr>
            </w:pPr>
            <w:r w:rsidRPr="00321ED7">
              <w:rPr>
                <w:sz w:val="20"/>
                <w:lang w:val="hr-HR"/>
              </w:rPr>
              <w:t>Omjer pokrića</w:t>
            </w:r>
          </w:p>
        </w:tc>
      </w:tr>
      <w:tr w:rsidR="00383D69" w:rsidRPr="00321ED7" w14:paraId="405C2EEA" w14:textId="77777777">
        <w:tc>
          <w:tcPr>
            <w:tcW w:w="4536" w:type="dxa"/>
            <w:shd w:val="clear" w:color="auto" w:fill="auto"/>
          </w:tcPr>
          <w:p w14:paraId="3510DF1F" w14:textId="77777777" w:rsidR="00383D69" w:rsidRPr="00321ED7" w:rsidRDefault="00383D69">
            <w:pPr>
              <w:numPr>
                <w:ilvl w:val="0"/>
                <w:numId w:val="2"/>
              </w:numPr>
              <w:tabs>
                <w:tab w:val="left" w:pos="-1985"/>
                <w:tab w:val="left" w:pos="-534"/>
              </w:tabs>
              <w:snapToGrid w:val="0"/>
              <w:rPr>
                <w:sz w:val="20"/>
                <w:lang w:val="hr-HR"/>
              </w:rPr>
            </w:pPr>
          </w:p>
          <w:p w14:paraId="634C6866" w14:textId="77777777" w:rsidR="00383D69" w:rsidRPr="00321ED7" w:rsidRDefault="00383D69">
            <w:pPr>
              <w:numPr>
                <w:ilvl w:val="0"/>
                <w:numId w:val="2"/>
              </w:numPr>
              <w:tabs>
                <w:tab w:val="left" w:pos="-1985"/>
                <w:tab w:val="left" w:pos="426"/>
              </w:tabs>
              <w:rPr>
                <w:sz w:val="20"/>
                <w:lang w:val="hr-HR"/>
              </w:rPr>
            </w:pPr>
          </w:p>
          <w:p w14:paraId="054DFD7B" w14:textId="77777777" w:rsidR="00383D69" w:rsidRPr="00321ED7" w:rsidRDefault="00383D69">
            <w:pPr>
              <w:tabs>
                <w:tab w:val="left" w:pos="-1985"/>
                <w:tab w:val="left" w:pos="426"/>
              </w:tabs>
              <w:rPr>
                <w:sz w:val="20"/>
                <w:lang w:val="hr-HR"/>
              </w:rPr>
            </w:pPr>
          </w:p>
          <w:p w14:paraId="1C0204CB" w14:textId="77777777" w:rsidR="00383D69" w:rsidRPr="00321ED7" w:rsidRDefault="00383D69">
            <w:pPr>
              <w:tabs>
                <w:tab w:val="left" w:pos="-1985"/>
                <w:tab w:val="left" w:pos="426"/>
              </w:tabs>
              <w:rPr>
                <w:sz w:val="20"/>
                <w:u w:val="single"/>
                <w:lang w:val="hr-HR"/>
              </w:rPr>
            </w:pPr>
            <w:r w:rsidRPr="00321ED7">
              <w:rPr>
                <w:sz w:val="20"/>
                <w:u w:val="single"/>
                <w:lang w:val="hr-HR"/>
              </w:rPr>
              <w:t>Vrijednosni papir kao instrument osiguranja</w:t>
            </w:r>
          </w:p>
        </w:tc>
        <w:tc>
          <w:tcPr>
            <w:tcW w:w="4536" w:type="dxa"/>
            <w:shd w:val="clear" w:color="auto" w:fill="auto"/>
          </w:tcPr>
          <w:p w14:paraId="147EA090" w14:textId="77777777" w:rsidR="00383D69" w:rsidRPr="00321ED7" w:rsidRDefault="00383D69">
            <w:pPr>
              <w:tabs>
                <w:tab w:val="left" w:pos="-1985"/>
                <w:tab w:val="left" w:pos="426"/>
              </w:tabs>
              <w:snapToGrid w:val="0"/>
              <w:ind w:left="1310"/>
              <w:rPr>
                <w:sz w:val="20"/>
                <w:lang w:val="hr-HR"/>
              </w:rPr>
            </w:pPr>
          </w:p>
          <w:p w14:paraId="58E26C5C" w14:textId="77777777" w:rsidR="00383D69" w:rsidRPr="00321ED7" w:rsidRDefault="00383D69">
            <w:pPr>
              <w:tabs>
                <w:tab w:val="left" w:pos="-1985"/>
                <w:tab w:val="left" w:pos="426"/>
              </w:tabs>
              <w:rPr>
                <w:sz w:val="20"/>
                <w:lang w:val="hr-HR"/>
              </w:rPr>
            </w:pPr>
          </w:p>
          <w:p w14:paraId="0163DA2B" w14:textId="77777777" w:rsidR="00B047A3" w:rsidRPr="00321ED7" w:rsidRDefault="00B047A3">
            <w:pPr>
              <w:tabs>
                <w:tab w:val="left" w:pos="-1985"/>
                <w:tab w:val="left" w:pos="426"/>
              </w:tabs>
              <w:ind w:left="1310"/>
              <w:rPr>
                <w:sz w:val="20"/>
                <w:lang w:val="hr-HR"/>
              </w:rPr>
            </w:pPr>
          </w:p>
          <w:p w14:paraId="6EB567CE" w14:textId="77777777" w:rsidR="00383D69" w:rsidRPr="00321ED7" w:rsidRDefault="00383D69" w:rsidP="00B047A3">
            <w:pPr>
              <w:tabs>
                <w:tab w:val="left" w:pos="-1985"/>
                <w:tab w:val="left" w:pos="426"/>
              </w:tabs>
              <w:ind w:left="1310"/>
              <w:rPr>
                <w:sz w:val="20"/>
                <w:u w:val="single"/>
                <w:lang w:val="hr-HR"/>
              </w:rPr>
            </w:pPr>
            <w:r w:rsidRPr="00321ED7">
              <w:rPr>
                <w:sz w:val="20"/>
                <w:u w:val="single"/>
                <w:lang w:val="hr-HR"/>
              </w:rPr>
              <w:t xml:space="preserve">Omjer </w:t>
            </w:r>
            <w:r w:rsidR="00B047A3" w:rsidRPr="00321ED7">
              <w:rPr>
                <w:sz w:val="20"/>
                <w:u w:val="single"/>
                <w:lang w:val="hr-HR"/>
              </w:rPr>
              <w:t>pokrića</w:t>
            </w:r>
          </w:p>
        </w:tc>
      </w:tr>
    </w:tbl>
    <w:p w14:paraId="2B80ADBC" w14:textId="77777777" w:rsidR="00383D69" w:rsidRPr="00321ED7" w:rsidRDefault="00383D69">
      <w:pPr>
        <w:numPr>
          <w:ilvl w:val="0"/>
          <w:numId w:val="3"/>
        </w:numPr>
        <w:tabs>
          <w:tab w:val="left" w:pos="-1985"/>
          <w:tab w:val="left" w:pos="426"/>
        </w:tabs>
        <w:rPr>
          <w:sz w:val="20"/>
          <w:lang w:val="hr-HR"/>
        </w:rPr>
      </w:pPr>
    </w:p>
    <w:p w14:paraId="0295E044" w14:textId="77777777" w:rsidR="00383D69" w:rsidRPr="00321ED7" w:rsidRDefault="00383D69">
      <w:pPr>
        <w:numPr>
          <w:ilvl w:val="0"/>
          <w:numId w:val="3"/>
        </w:numPr>
        <w:tabs>
          <w:tab w:val="left" w:pos="-1985"/>
          <w:tab w:val="left" w:pos="426"/>
        </w:tabs>
        <w:rPr>
          <w:sz w:val="20"/>
          <w:lang w:val="hr-HR"/>
        </w:rPr>
      </w:pPr>
    </w:p>
    <w:p w14:paraId="4AC93172" w14:textId="77777777" w:rsidR="00383D69" w:rsidRPr="00321ED7" w:rsidRDefault="00383D69">
      <w:pPr>
        <w:tabs>
          <w:tab w:val="left" w:pos="-1985"/>
          <w:tab w:val="left" w:pos="426"/>
        </w:tabs>
        <w:rPr>
          <w:sz w:val="20"/>
          <w:lang w:val="hr-HR"/>
        </w:rPr>
      </w:pPr>
    </w:p>
    <w:p w14:paraId="237ACAB8" w14:textId="77777777" w:rsidR="00383D69" w:rsidRPr="00321ED7" w:rsidRDefault="00383D69">
      <w:pPr>
        <w:tabs>
          <w:tab w:val="left" w:pos="-1985"/>
        </w:tabs>
        <w:ind w:left="270" w:right="562" w:hanging="270"/>
        <w:jc w:val="both"/>
        <w:rPr>
          <w:sz w:val="20"/>
          <w:lang w:val="hr-HR"/>
        </w:rPr>
      </w:pPr>
      <w:r w:rsidRPr="00321ED7">
        <w:rPr>
          <w:sz w:val="20"/>
          <w:lang w:val="hr-HR"/>
        </w:rPr>
        <w:t xml:space="preserve">(2) Svi prijenosi sukladno člancima 4. i 5. ovog Dodatka, kao i svaka isplata kamate ili drugih primitaka na osnovu Novca kao instrumenta osiguranja ili Vrijednosnih papira kao instrumenta osiguranja izvršit će se na sljedeće račune: </w:t>
      </w:r>
    </w:p>
    <w:p w14:paraId="38BFB954" w14:textId="77777777" w:rsidR="00383D69" w:rsidRPr="00321ED7" w:rsidRDefault="00383D69">
      <w:pPr>
        <w:tabs>
          <w:tab w:val="left" w:pos="-1985"/>
        </w:tabs>
        <w:ind w:left="270" w:right="562" w:hanging="270"/>
        <w:jc w:val="both"/>
        <w:rPr>
          <w:sz w:val="20"/>
          <w:lang w:val="hr-HR"/>
        </w:rPr>
      </w:pPr>
    </w:p>
    <w:tbl>
      <w:tblPr>
        <w:tblW w:w="0" w:type="auto"/>
        <w:tblInd w:w="392" w:type="dxa"/>
        <w:tblLayout w:type="fixed"/>
        <w:tblLook w:val="0000" w:firstRow="0" w:lastRow="0" w:firstColumn="0" w:lastColumn="0" w:noHBand="0" w:noVBand="0"/>
      </w:tblPr>
      <w:tblGrid>
        <w:gridCol w:w="1876"/>
        <w:gridCol w:w="239"/>
        <w:gridCol w:w="3541"/>
      </w:tblGrid>
      <w:tr w:rsidR="00383D69" w:rsidRPr="00321ED7" w14:paraId="12D054AF" w14:textId="77777777">
        <w:tc>
          <w:tcPr>
            <w:tcW w:w="1876" w:type="dxa"/>
            <w:shd w:val="clear" w:color="auto" w:fill="auto"/>
          </w:tcPr>
          <w:p w14:paraId="2E35A61B" w14:textId="77777777" w:rsidR="00383D69" w:rsidRPr="00321ED7" w:rsidRDefault="00383D69">
            <w:pPr>
              <w:tabs>
                <w:tab w:val="left" w:pos="-1985"/>
              </w:tabs>
              <w:snapToGrid w:val="0"/>
              <w:ind w:right="-108"/>
              <w:rPr>
                <w:sz w:val="20"/>
                <w:lang w:val="hr-HR"/>
              </w:rPr>
            </w:pPr>
            <w:r w:rsidRPr="00321ED7">
              <w:rPr>
                <w:sz w:val="20"/>
                <w:lang w:val="hr-HR"/>
              </w:rPr>
              <w:t>Strana A:</w:t>
            </w:r>
          </w:p>
        </w:tc>
        <w:tc>
          <w:tcPr>
            <w:tcW w:w="239" w:type="dxa"/>
            <w:shd w:val="clear" w:color="auto" w:fill="auto"/>
          </w:tcPr>
          <w:p w14:paraId="5B322470" w14:textId="77777777" w:rsidR="00383D69" w:rsidRPr="00321ED7" w:rsidRDefault="00383D69">
            <w:pPr>
              <w:tabs>
                <w:tab w:val="left" w:pos="-1985"/>
                <w:tab w:val="left" w:pos="426"/>
              </w:tabs>
              <w:snapToGrid w:val="0"/>
              <w:ind w:right="566"/>
              <w:rPr>
                <w:sz w:val="20"/>
                <w:lang w:val="hr-HR"/>
              </w:rPr>
            </w:pPr>
            <w:r w:rsidRPr="00321ED7">
              <w:rPr>
                <w:sz w:val="20"/>
                <w:lang w:val="hr-HR"/>
              </w:rPr>
              <w:t>:</w:t>
            </w:r>
          </w:p>
        </w:tc>
        <w:tc>
          <w:tcPr>
            <w:tcW w:w="3541" w:type="dxa"/>
            <w:shd w:val="clear" w:color="auto" w:fill="auto"/>
          </w:tcPr>
          <w:p w14:paraId="2DACB33B" w14:textId="77777777" w:rsidR="00383D69" w:rsidRPr="00321ED7" w:rsidRDefault="00383D69">
            <w:pPr>
              <w:tabs>
                <w:tab w:val="left" w:pos="-1985"/>
                <w:tab w:val="left" w:pos="426"/>
              </w:tabs>
              <w:snapToGrid w:val="0"/>
              <w:ind w:right="566"/>
              <w:rPr>
                <w:sz w:val="20"/>
                <w:lang w:val="hr-HR"/>
              </w:rPr>
            </w:pPr>
            <w:r w:rsidRPr="00321ED7">
              <w:rPr>
                <w:sz w:val="20"/>
                <w:lang w:val="hr-HR"/>
              </w:rPr>
              <w:t>(…)</w:t>
            </w:r>
          </w:p>
          <w:p w14:paraId="5564B067" w14:textId="77777777" w:rsidR="00383D69" w:rsidRPr="00321ED7" w:rsidRDefault="00383D69">
            <w:pPr>
              <w:tabs>
                <w:tab w:val="left" w:pos="-1985"/>
                <w:tab w:val="left" w:pos="426"/>
              </w:tabs>
              <w:ind w:right="566"/>
              <w:rPr>
                <w:sz w:val="20"/>
                <w:lang w:val="hr-HR"/>
              </w:rPr>
            </w:pPr>
          </w:p>
        </w:tc>
      </w:tr>
      <w:tr w:rsidR="00383D69" w:rsidRPr="00321ED7" w14:paraId="613D2253" w14:textId="77777777">
        <w:tc>
          <w:tcPr>
            <w:tcW w:w="1876" w:type="dxa"/>
            <w:shd w:val="clear" w:color="auto" w:fill="auto"/>
          </w:tcPr>
          <w:p w14:paraId="5D4D7B50" w14:textId="77777777" w:rsidR="00383D69" w:rsidRPr="00321ED7" w:rsidRDefault="00383D69">
            <w:pPr>
              <w:tabs>
                <w:tab w:val="left" w:pos="-1985"/>
                <w:tab w:val="left" w:pos="426"/>
              </w:tabs>
              <w:snapToGrid w:val="0"/>
              <w:ind w:right="566"/>
              <w:rPr>
                <w:sz w:val="20"/>
                <w:lang w:val="hr-HR"/>
              </w:rPr>
            </w:pPr>
            <w:r w:rsidRPr="00321ED7">
              <w:rPr>
                <w:sz w:val="20"/>
                <w:lang w:val="hr-HR"/>
              </w:rPr>
              <w:t>Strana B:</w:t>
            </w:r>
          </w:p>
        </w:tc>
        <w:tc>
          <w:tcPr>
            <w:tcW w:w="239" w:type="dxa"/>
            <w:shd w:val="clear" w:color="auto" w:fill="auto"/>
          </w:tcPr>
          <w:p w14:paraId="00809FAE" w14:textId="77777777" w:rsidR="00383D69" w:rsidRPr="00321ED7" w:rsidRDefault="00383D69">
            <w:pPr>
              <w:tabs>
                <w:tab w:val="left" w:pos="-1985"/>
                <w:tab w:val="left" w:pos="426"/>
              </w:tabs>
              <w:snapToGrid w:val="0"/>
              <w:ind w:right="566"/>
              <w:rPr>
                <w:sz w:val="20"/>
                <w:lang w:val="hr-HR"/>
              </w:rPr>
            </w:pPr>
            <w:r w:rsidRPr="00321ED7">
              <w:rPr>
                <w:sz w:val="20"/>
                <w:lang w:val="hr-HR"/>
              </w:rPr>
              <w:t>:</w:t>
            </w:r>
          </w:p>
        </w:tc>
        <w:tc>
          <w:tcPr>
            <w:tcW w:w="3541" w:type="dxa"/>
            <w:shd w:val="clear" w:color="auto" w:fill="auto"/>
          </w:tcPr>
          <w:p w14:paraId="617A941A" w14:textId="77777777" w:rsidR="00383D69" w:rsidRPr="00321ED7" w:rsidRDefault="00383D69">
            <w:pPr>
              <w:autoSpaceDE w:val="0"/>
              <w:snapToGrid w:val="0"/>
              <w:ind w:left="67"/>
              <w:rPr>
                <w:sz w:val="20"/>
                <w:lang w:val="hr-HR"/>
              </w:rPr>
            </w:pPr>
            <w:r w:rsidRPr="00321ED7">
              <w:rPr>
                <w:sz w:val="20"/>
                <w:lang w:val="hr-HR"/>
              </w:rPr>
              <w:t>(....)</w:t>
            </w:r>
          </w:p>
          <w:p w14:paraId="369084A3" w14:textId="77777777" w:rsidR="00383D69" w:rsidRPr="00321ED7" w:rsidRDefault="00383D69">
            <w:pPr>
              <w:tabs>
                <w:tab w:val="center" w:pos="6375"/>
              </w:tabs>
              <w:autoSpaceDE w:val="0"/>
              <w:ind w:left="67"/>
              <w:rPr>
                <w:sz w:val="20"/>
                <w:lang w:val="hr-HR"/>
              </w:rPr>
            </w:pPr>
          </w:p>
        </w:tc>
      </w:tr>
    </w:tbl>
    <w:p w14:paraId="015AC471" w14:textId="77777777" w:rsidR="00383D69" w:rsidRPr="00321ED7" w:rsidRDefault="00383D69">
      <w:pPr>
        <w:tabs>
          <w:tab w:val="left" w:pos="-1985"/>
          <w:tab w:val="left" w:pos="426"/>
        </w:tabs>
        <w:ind w:right="566"/>
        <w:rPr>
          <w:sz w:val="20"/>
          <w:lang w:val="hr-HR"/>
        </w:rPr>
      </w:pPr>
      <w:r w:rsidRPr="00321ED7">
        <w:rPr>
          <w:sz w:val="20"/>
          <w:lang w:val="hr-HR"/>
        </w:rPr>
        <w:t>(3) Primijenit će se sljedeće donje granice Iznosa za osiguranje:</w:t>
      </w:r>
    </w:p>
    <w:p w14:paraId="122EC0F3" w14:textId="77777777" w:rsidR="00383D69" w:rsidRPr="00321ED7" w:rsidRDefault="00383D69">
      <w:pPr>
        <w:tabs>
          <w:tab w:val="left" w:pos="-1985"/>
          <w:tab w:val="left" w:pos="426"/>
        </w:tabs>
        <w:ind w:right="566"/>
        <w:rPr>
          <w:sz w:val="20"/>
          <w:lang w:val="hr-HR"/>
        </w:rPr>
      </w:pPr>
    </w:p>
    <w:tbl>
      <w:tblPr>
        <w:tblW w:w="0" w:type="auto"/>
        <w:tblInd w:w="392" w:type="dxa"/>
        <w:tblLayout w:type="fixed"/>
        <w:tblLook w:val="0000" w:firstRow="0" w:lastRow="0" w:firstColumn="0" w:lastColumn="0" w:noHBand="0" w:noVBand="0"/>
      </w:tblPr>
      <w:tblGrid>
        <w:gridCol w:w="2056"/>
        <w:gridCol w:w="3614"/>
      </w:tblGrid>
      <w:tr w:rsidR="00383D69" w:rsidRPr="00321ED7" w14:paraId="39D4E5FD" w14:textId="77777777">
        <w:trPr>
          <w:trHeight w:val="213"/>
        </w:trPr>
        <w:tc>
          <w:tcPr>
            <w:tcW w:w="2056" w:type="dxa"/>
            <w:shd w:val="clear" w:color="auto" w:fill="auto"/>
          </w:tcPr>
          <w:p w14:paraId="26ACEFF7" w14:textId="77777777" w:rsidR="00383D69" w:rsidRPr="00321ED7" w:rsidRDefault="00383D69">
            <w:pPr>
              <w:tabs>
                <w:tab w:val="left" w:pos="-1985"/>
              </w:tabs>
              <w:snapToGrid w:val="0"/>
              <w:ind w:right="-108"/>
              <w:rPr>
                <w:sz w:val="20"/>
                <w:lang w:val="hr-HR"/>
              </w:rPr>
            </w:pPr>
            <w:r w:rsidRPr="00321ED7">
              <w:rPr>
                <w:sz w:val="20"/>
                <w:lang w:val="hr-HR"/>
              </w:rPr>
              <w:t>Strana A:</w:t>
            </w:r>
          </w:p>
        </w:tc>
        <w:tc>
          <w:tcPr>
            <w:tcW w:w="3614" w:type="dxa"/>
            <w:shd w:val="clear" w:color="auto" w:fill="auto"/>
          </w:tcPr>
          <w:p w14:paraId="537E92DC" w14:textId="77777777" w:rsidR="00383D69" w:rsidRPr="00321ED7" w:rsidRDefault="00383D69">
            <w:pPr>
              <w:tabs>
                <w:tab w:val="left" w:pos="-1985"/>
              </w:tabs>
              <w:snapToGrid w:val="0"/>
              <w:ind w:right="-108"/>
              <w:rPr>
                <w:sz w:val="20"/>
                <w:lang w:val="hr-HR"/>
              </w:rPr>
            </w:pPr>
          </w:p>
        </w:tc>
      </w:tr>
      <w:tr w:rsidR="00383D69" w:rsidRPr="00321ED7" w14:paraId="6483DBD0" w14:textId="77777777">
        <w:trPr>
          <w:trHeight w:val="218"/>
        </w:trPr>
        <w:tc>
          <w:tcPr>
            <w:tcW w:w="2056" w:type="dxa"/>
            <w:shd w:val="clear" w:color="auto" w:fill="auto"/>
          </w:tcPr>
          <w:p w14:paraId="3787F7D2" w14:textId="77777777" w:rsidR="00B047A3" w:rsidRPr="00321ED7" w:rsidRDefault="00B047A3">
            <w:pPr>
              <w:tabs>
                <w:tab w:val="left" w:pos="-1985"/>
                <w:tab w:val="left" w:pos="426"/>
              </w:tabs>
              <w:snapToGrid w:val="0"/>
              <w:ind w:right="566"/>
              <w:rPr>
                <w:sz w:val="20"/>
                <w:lang w:val="hr-HR"/>
              </w:rPr>
            </w:pPr>
          </w:p>
          <w:p w14:paraId="763B161E" w14:textId="77777777" w:rsidR="00383D69" w:rsidRPr="00321ED7" w:rsidRDefault="00383D69">
            <w:pPr>
              <w:tabs>
                <w:tab w:val="left" w:pos="-1985"/>
                <w:tab w:val="left" w:pos="426"/>
              </w:tabs>
              <w:snapToGrid w:val="0"/>
              <w:ind w:right="566"/>
              <w:rPr>
                <w:sz w:val="20"/>
                <w:lang w:val="hr-HR"/>
              </w:rPr>
            </w:pPr>
            <w:r w:rsidRPr="00321ED7">
              <w:rPr>
                <w:sz w:val="20"/>
                <w:lang w:val="hr-HR"/>
              </w:rPr>
              <w:t>Strana B:</w:t>
            </w:r>
          </w:p>
        </w:tc>
        <w:tc>
          <w:tcPr>
            <w:tcW w:w="3614" w:type="dxa"/>
            <w:shd w:val="clear" w:color="auto" w:fill="auto"/>
          </w:tcPr>
          <w:p w14:paraId="53CC6D24" w14:textId="77777777" w:rsidR="00383D69" w:rsidRPr="00321ED7" w:rsidRDefault="00383D69">
            <w:pPr>
              <w:tabs>
                <w:tab w:val="left" w:pos="-1985"/>
                <w:tab w:val="left" w:pos="426"/>
              </w:tabs>
              <w:snapToGrid w:val="0"/>
              <w:ind w:right="566"/>
              <w:rPr>
                <w:sz w:val="20"/>
                <w:lang w:val="hr-HR"/>
              </w:rPr>
            </w:pPr>
          </w:p>
        </w:tc>
      </w:tr>
    </w:tbl>
    <w:p w14:paraId="31949D52" w14:textId="77777777" w:rsidR="00120B46" w:rsidRPr="00321ED7" w:rsidRDefault="00120B46">
      <w:pPr>
        <w:tabs>
          <w:tab w:val="left" w:pos="-1985"/>
          <w:tab w:val="left" w:pos="426"/>
        </w:tabs>
        <w:ind w:right="566"/>
        <w:rPr>
          <w:sz w:val="20"/>
          <w:lang w:val="hr-HR"/>
        </w:rPr>
      </w:pPr>
    </w:p>
    <w:p w14:paraId="2D6415B4" w14:textId="77777777" w:rsidR="00383D69" w:rsidRPr="00321ED7" w:rsidRDefault="00383D69">
      <w:pPr>
        <w:tabs>
          <w:tab w:val="left" w:pos="-1985"/>
          <w:tab w:val="left" w:pos="426"/>
        </w:tabs>
        <w:ind w:right="566"/>
        <w:rPr>
          <w:sz w:val="20"/>
          <w:lang w:val="hr-HR"/>
        </w:rPr>
      </w:pPr>
      <w:r w:rsidRPr="00321ED7">
        <w:rPr>
          <w:sz w:val="20"/>
          <w:lang w:val="hr-HR"/>
        </w:rPr>
        <w:t>(4) Primijenit će se sljedeći minimalni iznosi prijenosa:</w:t>
      </w:r>
    </w:p>
    <w:p w14:paraId="73A155BB" w14:textId="77777777" w:rsidR="00383D69" w:rsidRPr="00321ED7" w:rsidRDefault="00383D69">
      <w:pPr>
        <w:tabs>
          <w:tab w:val="left" w:pos="-1985"/>
          <w:tab w:val="left" w:pos="426"/>
        </w:tabs>
        <w:ind w:right="566"/>
        <w:rPr>
          <w:sz w:val="20"/>
          <w:lang w:val="hr-HR"/>
        </w:rPr>
      </w:pPr>
    </w:p>
    <w:tbl>
      <w:tblPr>
        <w:tblW w:w="0" w:type="auto"/>
        <w:tblInd w:w="392" w:type="dxa"/>
        <w:tblLayout w:type="fixed"/>
        <w:tblLook w:val="0000" w:firstRow="0" w:lastRow="0" w:firstColumn="0" w:lastColumn="0" w:noHBand="0" w:noVBand="0"/>
      </w:tblPr>
      <w:tblGrid>
        <w:gridCol w:w="2056"/>
        <w:gridCol w:w="3614"/>
      </w:tblGrid>
      <w:tr w:rsidR="00383D69" w:rsidRPr="00321ED7" w14:paraId="0D72F61A" w14:textId="77777777">
        <w:trPr>
          <w:trHeight w:val="225"/>
        </w:trPr>
        <w:tc>
          <w:tcPr>
            <w:tcW w:w="2056" w:type="dxa"/>
            <w:shd w:val="clear" w:color="auto" w:fill="auto"/>
          </w:tcPr>
          <w:p w14:paraId="0F62E1BF" w14:textId="77777777" w:rsidR="00383D69" w:rsidRPr="00321ED7" w:rsidRDefault="00383D69">
            <w:pPr>
              <w:tabs>
                <w:tab w:val="left" w:pos="-1985"/>
              </w:tabs>
              <w:snapToGrid w:val="0"/>
              <w:ind w:right="-108"/>
              <w:rPr>
                <w:sz w:val="20"/>
                <w:lang w:val="hr-HR"/>
              </w:rPr>
            </w:pPr>
            <w:r w:rsidRPr="00321ED7">
              <w:rPr>
                <w:sz w:val="20"/>
                <w:lang w:val="hr-HR"/>
              </w:rPr>
              <w:t>Strana A:</w:t>
            </w:r>
          </w:p>
        </w:tc>
        <w:tc>
          <w:tcPr>
            <w:tcW w:w="3614" w:type="dxa"/>
            <w:shd w:val="clear" w:color="auto" w:fill="auto"/>
          </w:tcPr>
          <w:p w14:paraId="5F7B04C5" w14:textId="73932A55" w:rsidR="00383D69" w:rsidRPr="00321ED7" w:rsidRDefault="00EB23BF">
            <w:pPr>
              <w:tabs>
                <w:tab w:val="left" w:pos="-1985"/>
                <w:tab w:val="left" w:pos="426"/>
              </w:tabs>
              <w:snapToGrid w:val="0"/>
              <w:ind w:right="566"/>
              <w:rPr>
                <w:sz w:val="20"/>
                <w:lang w:val="hr-HR"/>
              </w:rPr>
            </w:pPr>
            <w:r w:rsidRPr="00321ED7">
              <w:rPr>
                <w:sz w:val="20"/>
                <w:lang w:val="hr-HR"/>
              </w:rPr>
              <w:t xml:space="preserve">EUR </w:t>
            </w:r>
          </w:p>
        </w:tc>
      </w:tr>
      <w:tr w:rsidR="00383D69" w:rsidRPr="00321ED7" w14:paraId="2D8D0DF8" w14:textId="77777777">
        <w:trPr>
          <w:trHeight w:val="226"/>
        </w:trPr>
        <w:tc>
          <w:tcPr>
            <w:tcW w:w="2056" w:type="dxa"/>
            <w:shd w:val="clear" w:color="auto" w:fill="auto"/>
          </w:tcPr>
          <w:p w14:paraId="0E57F294" w14:textId="77777777" w:rsidR="00B047A3" w:rsidRPr="00321ED7" w:rsidRDefault="00B047A3">
            <w:pPr>
              <w:tabs>
                <w:tab w:val="left" w:pos="-1985"/>
                <w:tab w:val="left" w:pos="426"/>
              </w:tabs>
              <w:snapToGrid w:val="0"/>
              <w:ind w:right="566"/>
              <w:rPr>
                <w:sz w:val="20"/>
                <w:lang w:val="hr-HR"/>
              </w:rPr>
            </w:pPr>
          </w:p>
          <w:p w14:paraId="5F01D4E8" w14:textId="77777777" w:rsidR="00383D69" w:rsidRPr="00321ED7" w:rsidRDefault="00383D69">
            <w:pPr>
              <w:tabs>
                <w:tab w:val="left" w:pos="-1985"/>
                <w:tab w:val="left" w:pos="426"/>
              </w:tabs>
              <w:snapToGrid w:val="0"/>
              <w:ind w:right="566"/>
              <w:rPr>
                <w:sz w:val="20"/>
                <w:lang w:val="hr-HR"/>
              </w:rPr>
            </w:pPr>
            <w:r w:rsidRPr="00321ED7">
              <w:rPr>
                <w:sz w:val="20"/>
                <w:lang w:val="hr-HR"/>
              </w:rPr>
              <w:t>Strana B:</w:t>
            </w:r>
          </w:p>
        </w:tc>
        <w:tc>
          <w:tcPr>
            <w:tcW w:w="3614" w:type="dxa"/>
            <w:shd w:val="clear" w:color="auto" w:fill="auto"/>
          </w:tcPr>
          <w:p w14:paraId="6451AA83" w14:textId="77777777" w:rsidR="00B047A3" w:rsidRPr="00321ED7" w:rsidRDefault="00B047A3">
            <w:pPr>
              <w:tabs>
                <w:tab w:val="left" w:pos="-1985"/>
                <w:tab w:val="left" w:pos="426"/>
              </w:tabs>
              <w:snapToGrid w:val="0"/>
              <w:ind w:right="566"/>
              <w:rPr>
                <w:sz w:val="20"/>
                <w:lang w:val="hr-HR"/>
              </w:rPr>
            </w:pPr>
          </w:p>
          <w:p w14:paraId="2C074273" w14:textId="6FCBEFF1" w:rsidR="00383D69" w:rsidRPr="00321ED7" w:rsidRDefault="00EB23BF">
            <w:pPr>
              <w:tabs>
                <w:tab w:val="left" w:pos="-1985"/>
                <w:tab w:val="left" w:pos="426"/>
              </w:tabs>
              <w:snapToGrid w:val="0"/>
              <w:ind w:right="566"/>
              <w:rPr>
                <w:sz w:val="20"/>
                <w:lang w:val="hr-HR"/>
              </w:rPr>
            </w:pPr>
            <w:r w:rsidRPr="00321ED7">
              <w:rPr>
                <w:sz w:val="20"/>
                <w:lang w:val="hr-HR"/>
              </w:rPr>
              <w:t>EUR</w:t>
            </w:r>
          </w:p>
        </w:tc>
      </w:tr>
    </w:tbl>
    <w:p w14:paraId="175DB4EB" w14:textId="77777777" w:rsidR="00383D69" w:rsidRPr="00321ED7" w:rsidRDefault="00383D69">
      <w:pPr>
        <w:pStyle w:val="BodyText"/>
        <w:tabs>
          <w:tab w:val="left" w:pos="-1985"/>
          <w:tab w:val="left" w:pos="426"/>
        </w:tabs>
        <w:ind w:left="270" w:right="566"/>
        <w:rPr>
          <w:sz w:val="20"/>
          <w:lang w:val="hr-HR"/>
        </w:rPr>
      </w:pPr>
    </w:p>
    <w:p w14:paraId="00F25C57" w14:textId="77777777" w:rsidR="00383D69" w:rsidRPr="00321ED7" w:rsidRDefault="00383D69">
      <w:pPr>
        <w:pStyle w:val="BodyText"/>
        <w:tabs>
          <w:tab w:val="left" w:pos="-1985"/>
          <w:tab w:val="left" w:pos="426"/>
        </w:tabs>
        <w:ind w:left="270" w:right="566"/>
        <w:rPr>
          <w:sz w:val="20"/>
          <w:lang w:val="hr-HR"/>
        </w:rPr>
      </w:pPr>
      <w:r w:rsidRPr="00321ED7">
        <w:rPr>
          <w:sz w:val="20"/>
          <w:lang w:val="hr-HR"/>
        </w:rPr>
        <w:t>(sugerirana odredba)</w:t>
      </w:r>
    </w:p>
    <w:p w14:paraId="6CCD1539" w14:textId="77777777" w:rsidR="00383D69" w:rsidRPr="00321ED7" w:rsidRDefault="00383D69">
      <w:pPr>
        <w:pStyle w:val="BodyText"/>
        <w:tabs>
          <w:tab w:val="left" w:pos="-1985"/>
          <w:tab w:val="left" w:pos="426"/>
        </w:tabs>
        <w:ind w:left="270" w:right="566"/>
        <w:rPr>
          <w:sz w:val="20"/>
          <w:lang w:val="hr-HR"/>
        </w:rPr>
      </w:pPr>
      <w:r w:rsidRPr="00321ED7">
        <w:rPr>
          <w:sz w:val="20"/>
          <w:lang w:val="hr-HR"/>
        </w:rPr>
        <w:t>Minimalni iznos prijenosa bit će jednak nuli ako je Iznos za osiguranje nula, a zaokruživanje Vrijednosti se neće primjenjivati.</w:t>
      </w:r>
    </w:p>
    <w:p w14:paraId="12B41E94" w14:textId="77777777" w:rsidR="00383D69" w:rsidRPr="00321ED7" w:rsidRDefault="00383D69">
      <w:pPr>
        <w:tabs>
          <w:tab w:val="left" w:pos="-1985"/>
          <w:tab w:val="left" w:pos="426"/>
        </w:tabs>
        <w:ind w:right="566"/>
        <w:rPr>
          <w:sz w:val="20"/>
          <w:lang w:val="hr-HR"/>
        </w:rPr>
      </w:pPr>
    </w:p>
    <w:p w14:paraId="2305BDF4" w14:textId="77777777" w:rsidR="00383D69" w:rsidRPr="00321ED7" w:rsidRDefault="00383D69" w:rsidP="00CA5BA6">
      <w:pPr>
        <w:tabs>
          <w:tab w:val="left" w:pos="-1985"/>
          <w:tab w:val="left" w:pos="426"/>
        </w:tabs>
        <w:ind w:left="426" w:right="566" w:hanging="426"/>
        <w:jc w:val="both"/>
        <w:rPr>
          <w:sz w:val="20"/>
          <w:lang w:val="hr-HR"/>
        </w:rPr>
      </w:pPr>
      <w:r w:rsidRPr="00321ED7">
        <w:rPr>
          <w:sz w:val="20"/>
          <w:lang w:val="hr-HR"/>
        </w:rPr>
        <w:t>(5) Dodatno, uz detaljnije aranžmane u skladu s uvjetima Transakcija, primijenit će se sljedeći Dodatni iznosi:</w:t>
      </w:r>
    </w:p>
    <w:p w14:paraId="2E54F73C" w14:textId="77777777" w:rsidR="00383D69" w:rsidRPr="00321ED7" w:rsidRDefault="00383D69">
      <w:pPr>
        <w:tabs>
          <w:tab w:val="left" w:pos="-1985"/>
          <w:tab w:val="left" w:pos="426"/>
        </w:tabs>
        <w:ind w:right="566"/>
        <w:rPr>
          <w:sz w:val="20"/>
          <w:lang w:val="hr-HR"/>
        </w:rPr>
      </w:pPr>
    </w:p>
    <w:p w14:paraId="0C9D781D" w14:textId="77777777" w:rsidR="00383D69" w:rsidRPr="00321ED7" w:rsidRDefault="00383D69">
      <w:pPr>
        <w:tabs>
          <w:tab w:val="left" w:pos="-1985"/>
          <w:tab w:val="left" w:pos="426"/>
          <w:tab w:val="left" w:pos="1680"/>
          <w:tab w:val="left" w:pos="2520"/>
          <w:tab w:val="left" w:pos="2700"/>
        </w:tabs>
        <w:rPr>
          <w:sz w:val="20"/>
          <w:lang w:val="hr-HR"/>
        </w:rPr>
      </w:pPr>
      <w:r w:rsidRPr="00321ED7">
        <w:rPr>
          <w:sz w:val="20"/>
          <w:lang w:val="hr-HR"/>
        </w:rPr>
        <w:tab/>
        <w:t>Strana A:</w:t>
      </w:r>
      <w:r w:rsidRPr="00321ED7">
        <w:rPr>
          <w:sz w:val="20"/>
          <w:lang w:val="hr-HR"/>
        </w:rPr>
        <w:tab/>
      </w:r>
      <w:r w:rsidRPr="00321ED7">
        <w:rPr>
          <w:sz w:val="20"/>
          <w:lang w:val="hr-HR"/>
        </w:rPr>
        <w:tab/>
      </w:r>
    </w:p>
    <w:p w14:paraId="1015B6AC" w14:textId="77777777" w:rsidR="00383D69" w:rsidRPr="00321ED7" w:rsidRDefault="00383D69">
      <w:pPr>
        <w:tabs>
          <w:tab w:val="left" w:pos="-1985"/>
          <w:tab w:val="left" w:pos="426"/>
          <w:tab w:val="left" w:pos="2520"/>
        </w:tabs>
        <w:rPr>
          <w:sz w:val="20"/>
          <w:lang w:val="hr-HR"/>
        </w:rPr>
      </w:pPr>
    </w:p>
    <w:p w14:paraId="2C0D9890" w14:textId="77777777" w:rsidR="00383D69" w:rsidRPr="00321ED7" w:rsidRDefault="00383D69">
      <w:pPr>
        <w:tabs>
          <w:tab w:val="left" w:pos="-1985"/>
          <w:tab w:val="left" w:pos="426"/>
          <w:tab w:val="left" w:pos="1680"/>
          <w:tab w:val="left" w:pos="2520"/>
        </w:tabs>
        <w:rPr>
          <w:sz w:val="20"/>
          <w:lang w:val="hr-HR"/>
        </w:rPr>
      </w:pPr>
      <w:r w:rsidRPr="00321ED7">
        <w:rPr>
          <w:sz w:val="20"/>
          <w:lang w:val="hr-HR"/>
        </w:rPr>
        <w:tab/>
        <w:t>Strana B:</w:t>
      </w:r>
      <w:r w:rsidRPr="00321ED7">
        <w:rPr>
          <w:sz w:val="20"/>
          <w:lang w:val="hr-HR"/>
        </w:rPr>
        <w:tab/>
      </w:r>
    </w:p>
    <w:p w14:paraId="20A28902" w14:textId="77777777" w:rsidR="00383D69" w:rsidRPr="00321ED7" w:rsidRDefault="00383D69">
      <w:pPr>
        <w:tabs>
          <w:tab w:val="left" w:pos="-1985"/>
          <w:tab w:val="left" w:pos="426"/>
        </w:tabs>
        <w:ind w:right="566"/>
        <w:rPr>
          <w:sz w:val="20"/>
          <w:lang w:val="hr-HR"/>
        </w:rPr>
      </w:pPr>
    </w:p>
    <w:p w14:paraId="166ECA27" w14:textId="77777777" w:rsidR="00383D69" w:rsidRPr="00321ED7" w:rsidRDefault="00383D69">
      <w:pPr>
        <w:pStyle w:val="ListParagraph"/>
        <w:numPr>
          <w:ilvl w:val="0"/>
          <w:numId w:val="4"/>
        </w:numPr>
        <w:tabs>
          <w:tab w:val="left" w:pos="-1985"/>
          <w:tab w:val="left" w:pos="426"/>
          <w:tab w:val="left" w:pos="993"/>
          <w:tab w:val="left" w:pos="1425"/>
        </w:tabs>
        <w:ind w:right="566"/>
        <w:jc w:val="both"/>
        <w:rPr>
          <w:vanish/>
          <w:sz w:val="20"/>
          <w:lang w:val="hr-HR"/>
        </w:rPr>
      </w:pPr>
    </w:p>
    <w:p w14:paraId="334DE507" w14:textId="77777777" w:rsidR="00383D69" w:rsidRPr="00321ED7" w:rsidRDefault="00383D69">
      <w:pPr>
        <w:pStyle w:val="Header"/>
        <w:numPr>
          <w:ilvl w:val="0"/>
          <w:numId w:val="4"/>
        </w:numPr>
        <w:tabs>
          <w:tab w:val="clear" w:pos="4536"/>
          <w:tab w:val="clear" w:pos="9072"/>
          <w:tab w:val="left" w:pos="-1985"/>
          <w:tab w:val="left" w:pos="426"/>
          <w:tab w:val="left" w:pos="993"/>
          <w:tab w:val="left" w:pos="1425"/>
        </w:tabs>
        <w:ind w:right="566"/>
        <w:jc w:val="both"/>
        <w:rPr>
          <w:lang w:val="hr-HR"/>
        </w:rPr>
      </w:pPr>
      <w:r w:rsidRPr="00321ED7">
        <w:rPr>
          <w:lang w:val="hr-HR"/>
        </w:rPr>
        <w:t>Datum vrednovanja je</w:t>
      </w:r>
    </w:p>
    <w:p w14:paraId="4E58137C" w14:textId="77777777" w:rsidR="00383D69" w:rsidRPr="00321ED7" w:rsidRDefault="00383D69">
      <w:pPr>
        <w:pStyle w:val="Header"/>
        <w:tabs>
          <w:tab w:val="clear" w:pos="4536"/>
          <w:tab w:val="clear" w:pos="9072"/>
          <w:tab w:val="left" w:pos="-1985"/>
          <w:tab w:val="left" w:pos="426"/>
          <w:tab w:val="left" w:pos="993"/>
          <w:tab w:val="left" w:pos="1425"/>
        </w:tabs>
        <w:ind w:left="360" w:right="566"/>
        <w:jc w:val="both"/>
        <w:rPr>
          <w:lang w:val="hr-HR"/>
        </w:rPr>
      </w:pPr>
      <w:r w:rsidRPr="00321ED7">
        <w:rPr>
          <w:lang w:val="hr-HR"/>
        </w:rPr>
        <w:t xml:space="preserve">  </w:t>
      </w:r>
    </w:p>
    <w:p w14:paraId="23F06300" w14:textId="77777777" w:rsidR="00383D69" w:rsidRPr="00321ED7" w:rsidRDefault="00383D69">
      <w:pPr>
        <w:pStyle w:val="Header"/>
        <w:tabs>
          <w:tab w:val="clear" w:pos="4536"/>
          <w:tab w:val="clear" w:pos="9072"/>
          <w:tab w:val="left" w:pos="-1985"/>
          <w:tab w:val="left" w:pos="426"/>
          <w:tab w:val="left" w:pos="993"/>
          <w:tab w:val="left" w:pos="1425"/>
        </w:tabs>
        <w:ind w:left="360" w:right="566"/>
        <w:jc w:val="both"/>
        <w:rPr>
          <w:lang w:val="hr-HR"/>
        </w:rPr>
      </w:pPr>
      <w:r w:rsidRPr="00321ED7">
        <w:rPr>
          <w:lang w:val="hr-HR"/>
        </w:rPr>
        <w:t xml:space="preserve">(sugerirana odredba) </w:t>
      </w:r>
    </w:p>
    <w:p w14:paraId="5812C081" w14:textId="77777777" w:rsidR="00383D69" w:rsidRPr="00321ED7" w:rsidRDefault="00383D69">
      <w:pPr>
        <w:pStyle w:val="Header"/>
        <w:tabs>
          <w:tab w:val="clear" w:pos="4536"/>
          <w:tab w:val="clear" w:pos="9072"/>
          <w:tab w:val="left" w:pos="-1985"/>
          <w:tab w:val="left" w:pos="426"/>
          <w:tab w:val="left" w:pos="993"/>
          <w:tab w:val="left" w:pos="1425"/>
        </w:tabs>
        <w:ind w:left="360" w:right="566"/>
        <w:jc w:val="both"/>
        <w:rPr>
          <w:lang w:val="hr-HR"/>
        </w:rPr>
      </w:pPr>
      <w:r w:rsidRPr="00321ED7">
        <w:rPr>
          <w:lang w:val="hr-HR"/>
        </w:rPr>
        <w:t xml:space="preserve">svaki Radni dan. U slučaju da određeni Radni dan nije radni dan za jednu od ugovornih strana, Datum vrednovanja bit će sljedeći Radni dan koji je radni dan za obje ugovorne strane. </w:t>
      </w:r>
    </w:p>
    <w:p w14:paraId="626FF5F8" w14:textId="77777777" w:rsidR="00120B46" w:rsidRPr="00321ED7" w:rsidRDefault="00120B46">
      <w:pPr>
        <w:pStyle w:val="Header"/>
        <w:tabs>
          <w:tab w:val="clear" w:pos="4536"/>
          <w:tab w:val="clear" w:pos="9072"/>
          <w:tab w:val="left" w:pos="-1985"/>
          <w:tab w:val="left" w:pos="426"/>
          <w:tab w:val="left" w:pos="993"/>
          <w:tab w:val="left" w:pos="1425"/>
        </w:tabs>
        <w:ind w:right="566"/>
        <w:jc w:val="both"/>
        <w:rPr>
          <w:lang w:val="hr-HR"/>
        </w:rPr>
      </w:pPr>
    </w:p>
    <w:p w14:paraId="7C3C1484" w14:textId="77777777" w:rsidR="00383D69" w:rsidRPr="00321ED7" w:rsidRDefault="00383D69">
      <w:pPr>
        <w:pStyle w:val="Header"/>
        <w:tabs>
          <w:tab w:val="clear" w:pos="4536"/>
          <w:tab w:val="clear" w:pos="9072"/>
          <w:tab w:val="left" w:pos="-1985"/>
          <w:tab w:val="left" w:pos="426"/>
          <w:tab w:val="left" w:pos="993"/>
          <w:tab w:val="left" w:pos="1425"/>
        </w:tabs>
        <w:ind w:right="566"/>
        <w:jc w:val="both"/>
        <w:rPr>
          <w:lang w:val="hr-HR"/>
        </w:rPr>
      </w:pPr>
      <w:r w:rsidRPr="00321ED7">
        <w:rPr>
          <w:lang w:val="hr-HR"/>
        </w:rPr>
        <w:t>(7) Agent vrednovanja je _______.</w:t>
      </w:r>
    </w:p>
    <w:p w14:paraId="27EBFB99" w14:textId="77777777" w:rsidR="00120B46" w:rsidRPr="00321ED7" w:rsidRDefault="00120B46">
      <w:pPr>
        <w:tabs>
          <w:tab w:val="left" w:pos="-1985"/>
          <w:tab w:val="left" w:pos="426"/>
          <w:tab w:val="left" w:pos="993"/>
          <w:tab w:val="left" w:pos="1425"/>
        </w:tabs>
        <w:ind w:right="566"/>
        <w:jc w:val="both"/>
        <w:rPr>
          <w:sz w:val="20"/>
          <w:lang w:val="hr-HR"/>
        </w:rPr>
      </w:pPr>
    </w:p>
    <w:p w14:paraId="231FE8F0" w14:textId="77777777" w:rsidR="00383D69" w:rsidRPr="00321ED7" w:rsidRDefault="00383D69">
      <w:pPr>
        <w:tabs>
          <w:tab w:val="left" w:pos="-1985"/>
          <w:tab w:val="left" w:pos="426"/>
          <w:tab w:val="left" w:pos="993"/>
          <w:tab w:val="left" w:pos="1425"/>
        </w:tabs>
        <w:ind w:right="566"/>
        <w:jc w:val="both"/>
        <w:rPr>
          <w:sz w:val="20"/>
          <w:lang w:val="hr-HR"/>
        </w:rPr>
      </w:pPr>
      <w:r w:rsidRPr="00321ED7">
        <w:rPr>
          <w:sz w:val="20"/>
          <w:lang w:val="hr-HR"/>
        </w:rPr>
        <w:t xml:space="preserve">(8) Datum slanja obavijesti je </w:t>
      </w:r>
    </w:p>
    <w:p w14:paraId="1A37F630" w14:textId="77777777" w:rsidR="00383D69" w:rsidRPr="00321ED7" w:rsidRDefault="00383D69">
      <w:pPr>
        <w:tabs>
          <w:tab w:val="left" w:pos="-1985"/>
          <w:tab w:val="left" w:pos="426"/>
          <w:tab w:val="left" w:pos="993"/>
          <w:tab w:val="left" w:pos="1425"/>
        </w:tabs>
        <w:ind w:right="566"/>
        <w:jc w:val="both"/>
        <w:rPr>
          <w:sz w:val="20"/>
          <w:lang w:val="hr-HR"/>
        </w:rPr>
      </w:pPr>
    </w:p>
    <w:p w14:paraId="6FEC4F59" w14:textId="77777777" w:rsidR="00383D69" w:rsidRPr="00321ED7" w:rsidRDefault="00383D69">
      <w:pPr>
        <w:tabs>
          <w:tab w:val="left" w:pos="-1985"/>
          <w:tab w:val="left" w:pos="993"/>
          <w:tab w:val="left" w:pos="1425"/>
        </w:tabs>
        <w:ind w:left="426" w:right="566"/>
        <w:jc w:val="both"/>
        <w:rPr>
          <w:sz w:val="20"/>
          <w:lang w:val="hr-HR"/>
        </w:rPr>
      </w:pPr>
      <w:r w:rsidRPr="00321ED7">
        <w:rPr>
          <w:sz w:val="20"/>
          <w:lang w:val="hr-HR"/>
        </w:rPr>
        <w:t xml:space="preserve">(sugerirana odredba) </w:t>
      </w:r>
    </w:p>
    <w:p w14:paraId="57AD0736" w14:textId="77777777" w:rsidR="00383D69" w:rsidRPr="00321ED7" w:rsidRDefault="00383D69">
      <w:pPr>
        <w:tabs>
          <w:tab w:val="left" w:pos="-1985"/>
          <w:tab w:val="left" w:pos="993"/>
          <w:tab w:val="left" w:pos="1425"/>
        </w:tabs>
        <w:ind w:left="426" w:right="566"/>
        <w:jc w:val="both"/>
        <w:rPr>
          <w:sz w:val="20"/>
          <w:lang w:val="hr-HR"/>
        </w:rPr>
      </w:pPr>
      <w:r w:rsidRPr="00321ED7">
        <w:rPr>
          <w:sz w:val="20"/>
          <w:lang w:val="hr-HR"/>
        </w:rPr>
        <w:t>prvi Radni dan nakon Datuma vrednovanja. Vrijeme slanja obavijesti je 14:00 sati (po lokalnom vremenu u Zagrebu)</w:t>
      </w:r>
    </w:p>
    <w:p w14:paraId="23FA8274" w14:textId="77777777" w:rsidR="00383D69" w:rsidRPr="00321ED7" w:rsidRDefault="00383D69">
      <w:pPr>
        <w:tabs>
          <w:tab w:val="left" w:pos="-1985"/>
          <w:tab w:val="left" w:pos="426"/>
          <w:tab w:val="left" w:pos="993"/>
          <w:tab w:val="left" w:pos="1425"/>
        </w:tabs>
        <w:ind w:right="566"/>
        <w:jc w:val="both"/>
        <w:rPr>
          <w:sz w:val="20"/>
          <w:lang w:val="hr-HR"/>
        </w:rPr>
      </w:pPr>
    </w:p>
    <w:p w14:paraId="5C6B5BD4" w14:textId="77777777" w:rsidR="00383D69" w:rsidRPr="00321ED7" w:rsidRDefault="00383D69">
      <w:pPr>
        <w:tabs>
          <w:tab w:val="left" w:pos="-1985"/>
          <w:tab w:val="left" w:pos="993"/>
          <w:tab w:val="left" w:pos="1425"/>
        </w:tabs>
        <w:ind w:left="270" w:right="566" w:hanging="270"/>
        <w:jc w:val="both"/>
        <w:rPr>
          <w:sz w:val="20"/>
          <w:lang w:val="hr-HR"/>
        </w:rPr>
      </w:pPr>
      <w:r w:rsidRPr="00321ED7">
        <w:rPr>
          <w:sz w:val="20"/>
          <w:lang w:val="hr-HR"/>
        </w:rPr>
        <w:t xml:space="preserve">(9) Kamatno razdoblje je </w:t>
      </w:r>
    </w:p>
    <w:p w14:paraId="1DAEBCFE" w14:textId="77777777" w:rsidR="00383D69" w:rsidRPr="00321ED7" w:rsidRDefault="00383D69">
      <w:pPr>
        <w:tabs>
          <w:tab w:val="left" w:pos="-1985"/>
          <w:tab w:val="left" w:pos="993"/>
          <w:tab w:val="left" w:pos="1425"/>
        </w:tabs>
        <w:ind w:left="270" w:right="566" w:hanging="270"/>
        <w:jc w:val="both"/>
        <w:rPr>
          <w:sz w:val="20"/>
          <w:lang w:val="hr-HR"/>
        </w:rPr>
      </w:pPr>
    </w:p>
    <w:p w14:paraId="5395221B" w14:textId="77777777" w:rsidR="00383D69" w:rsidRPr="00321ED7" w:rsidRDefault="00383D69">
      <w:pPr>
        <w:tabs>
          <w:tab w:val="left" w:pos="-1985"/>
          <w:tab w:val="left" w:pos="993"/>
          <w:tab w:val="left" w:pos="1425"/>
        </w:tabs>
        <w:ind w:left="270" w:right="566" w:firstLine="14"/>
        <w:jc w:val="both"/>
        <w:rPr>
          <w:sz w:val="20"/>
          <w:lang w:val="hr-HR"/>
        </w:rPr>
      </w:pPr>
      <w:r w:rsidRPr="00321ED7">
        <w:rPr>
          <w:sz w:val="20"/>
          <w:lang w:val="hr-HR"/>
        </w:rPr>
        <w:t xml:space="preserve">(sugerirana odredba) </w:t>
      </w:r>
    </w:p>
    <w:p w14:paraId="1B4A4ABD" w14:textId="77777777" w:rsidR="00383D69" w:rsidRPr="00321ED7" w:rsidRDefault="00383D69">
      <w:pPr>
        <w:tabs>
          <w:tab w:val="left" w:pos="-1985"/>
          <w:tab w:val="left" w:pos="993"/>
          <w:tab w:val="left" w:pos="1425"/>
        </w:tabs>
        <w:ind w:left="270" w:right="566" w:firstLine="14"/>
        <w:jc w:val="both"/>
        <w:rPr>
          <w:sz w:val="20"/>
          <w:lang w:val="hr-HR"/>
        </w:rPr>
      </w:pPr>
      <w:r w:rsidRPr="00321ED7">
        <w:rPr>
          <w:sz w:val="20"/>
          <w:lang w:val="hr-HR"/>
        </w:rPr>
        <w:t xml:space="preserve">razdoblje koje počinje prvog dana u mjesecu (uključujući i taj dan), a završava zadnjeg dana u istom mjesecu (uključujući i taj dan). </w:t>
      </w:r>
    </w:p>
    <w:p w14:paraId="0C2201D7" w14:textId="77777777" w:rsidR="00383D69" w:rsidRPr="00321ED7" w:rsidRDefault="00383D69">
      <w:pPr>
        <w:tabs>
          <w:tab w:val="left" w:pos="-1985"/>
          <w:tab w:val="left" w:pos="1878"/>
        </w:tabs>
        <w:ind w:right="566"/>
        <w:jc w:val="both"/>
        <w:rPr>
          <w:sz w:val="20"/>
          <w:lang w:val="hr-HR"/>
        </w:rPr>
      </w:pPr>
    </w:p>
    <w:p w14:paraId="0FAD4C08" w14:textId="77777777" w:rsidR="00383D69" w:rsidRPr="00321ED7" w:rsidRDefault="00383D69">
      <w:pPr>
        <w:pStyle w:val="BodyText"/>
        <w:tabs>
          <w:tab w:val="left" w:pos="-1985"/>
          <w:tab w:val="left" w:pos="426"/>
          <w:tab w:val="left" w:pos="993"/>
          <w:tab w:val="left" w:pos="1425"/>
        </w:tabs>
        <w:ind w:right="566"/>
        <w:rPr>
          <w:sz w:val="20"/>
          <w:lang w:val="hr-HR"/>
        </w:rPr>
      </w:pPr>
      <w:r w:rsidRPr="00321ED7">
        <w:rPr>
          <w:sz w:val="20"/>
          <w:lang w:val="hr-HR"/>
        </w:rPr>
        <w:t>(10) Kamatna stopa je ___.</w:t>
      </w:r>
    </w:p>
    <w:p w14:paraId="064A87DB" w14:textId="77777777" w:rsidR="00383D69" w:rsidRPr="00321ED7" w:rsidRDefault="00383D69">
      <w:pPr>
        <w:pStyle w:val="BodyText"/>
        <w:tabs>
          <w:tab w:val="left" w:pos="-1985"/>
          <w:tab w:val="left" w:pos="426"/>
          <w:tab w:val="left" w:pos="993"/>
          <w:tab w:val="left" w:pos="1425"/>
        </w:tabs>
        <w:ind w:right="566"/>
        <w:rPr>
          <w:sz w:val="20"/>
          <w:lang w:val="hr-HR"/>
        </w:rPr>
      </w:pPr>
    </w:p>
    <w:p w14:paraId="744A91D4" w14:textId="77777777" w:rsidR="00383D69" w:rsidRPr="00321ED7" w:rsidRDefault="00383D69">
      <w:pPr>
        <w:tabs>
          <w:tab w:val="left" w:pos="-1985"/>
          <w:tab w:val="left" w:pos="993"/>
          <w:tab w:val="left" w:pos="1425"/>
        </w:tabs>
        <w:ind w:left="270" w:right="566" w:firstLine="14"/>
        <w:jc w:val="both"/>
        <w:rPr>
          <w:sz w:val="20"/>
          <w:lang w:val="hr-HR"/>
        </w:rPr>
      </w:pPr>
      <w:r w:rsidRPr="00321ED7">
        <w:rPr>
          <w:sz w:val="20"/>
          <w:lang w:val="hr-HR"/>
        </w:rPr>
        <w:t>(sugerirana odredba)</w:t>
      </w:r>
    </w:p>
    <w:p w14:paraId="2B073678" w14:textId="39562DC1" w:rsidR="00383D69" w:rsidRPr="00321ED7" w:rsidRDefault="00383D69">
      <w:pPr>
        <w:tabs>
          <w:tab w:val="left" w:pos="-1985"/>
          <w:tab w:val="left" w:pos="993"/>
          <w:tab w:val="left" w:pos="1425"/>
        </w:tabs>
        <w:ind w:left="270" w:right="566" w:firstLine="14"/>
        <w:jc w:val="both"/>
        <w:rPr>
          <w:sz w:val="20"/>
          <w:lang w:val="hr-HR"/>
        </w:rPr>
      </w:pPr>
    </w:p>
    <w:p w14:paraId="4EC15875" w14:textId="44022219" w:rsidR="00383D69" w:rsidRPr="00321ED7" w:rsidRDefault="005550BB">
      <w:pPr>
        <w:tabs>
          <w:tab w:val="left" w:pos="-1985"/>
          <w:tab w:val="left" w:pos="993"/>
          <w:tab w:val="left" w:pos="1425"/>
        </w:tabs>
        <w:ind w:left="270" w:right="566" w:firstLine="14"/>
        <w:jc w:val="both"/>
        <w:rPr>
          <w:sz w:val="20"/>
          <w:lang w:val="hr-HR"/>
        </w:rPr>
      </w:pPr>
      <w:r w:rsidRPr="00321ED7">
        <w:rPr>
          <w:sz w:val="20"/>
          <w:lang w:val="hr-HR"/>
        </w:rPr>
        <w:t xml:space="preserve">Referentna kamatna stopa za </w:t>
      </w:r>
      <w:r w:rsidR="00A93764" w:rsidRPr="00321ED7">
        <w:rPr>
          <w:sz w:val="20"/>
          <w:lang w:val="hr-HR"/>
        </w:rPr>
        <w:t>euro</w:t>
      </w:r>
      <w:r w:rsidRPr="00321ED7">
        <w:rPr>
          <w:sz w:val="20"/>
          <w:lang w:val="hr-HR"/>
        </w:rPr>
        <w:t xml:space="preserve"> je €STR (Euro Short-Term Rate),  prekonoćna kamatna stopa eurskog neosiguranog pozajmljivanja banaka u europodručju, utvrđena svakog TARGET 2 radnog dana u 8:00 sati (po srednjeeuropskom vremenu) na datum primitka VM-Novca kao instrumenta osiguranja koju objavljuje Europska središnja banka na svojim mrežnim stranicama.</w:t>
      </w:r>
      <w:r w:rsidR="00383D69" w:rsidRPr="00321ED7">
        <w:rPr>
          <w:sz w:val="20"/>
          <w:lang w:val="hr-HR"/>
        </w:rPr>
        <w:t xml:space="preserve"> </w:t>
      </w:r>
    </w:p>
    <w:p w14:paraId="6A6B698D" w14:textId="77777777" w:rsidR="00383D69" w:rsidRPr="00321ED7" w:rsidRDefault="00383D69">
      <w:pPr>
        <w:tabs>
          <w:tab w:val="left" w:pos="-1985"/>
          <w:tab w:val="left" w:pos="993"/>
          <w:tab w:val="left" w:pos="1425"/>
        </w:tabs>
        <w:ind w:left="270" w:right="566" w:firstLine="14"/>
        <w:jc w:val="both"/>
        <w:rPr>
          <w:sz w:val="20"/>
          <w:lang w:val="hr-HR"/>
        </w:rPr>
      </w:pPr>
    </w:p>
    <w:p w14:paraId="35BD3963" w14:textId="77777777" w:rsidR="00383D69" w:rsidRPr="00321ED7" w:rsidRDefault="00383D69">
      <w:pPr>
        <w:tabs>
          <w:tab w:val="left" w:pos="-1985"/>
          <w:tab w:val="left" w:pos="993"/>
          <w:tab w:val="left" w:pos="1425"/>
        </w:tabs>
        <w:ind w:left="270" w:right="566" w:firstLine="14"/>
        <w:jc w:val="both"/>
        <w:rPr>
          <w:sz w:val="20"/>
          <w:lang w:val="hr-HR"/>
        </w:rPr>
      </w:pPr>
      <w:r w:rsidRPr="00321ED7">
        <w:rPr>
          <w:sz w:val="20"/>
          <w:lang w:val="hr-HR"/>
        </w:rPr>
        <w:t xml:space="preserve">U slučaju da za pojedini radni dan referentna </w:t>
      </w:r>
      <w:r w:rsidR="00B047A3" w:rsidRPr="00321ED7">
        <w:rPr>
          <w:sz w:val="20"/>
          <w:lang w:val="hr-HR"/>
        </w:rPr>
        <w:t xml:space="preserve">kamatna </w:t>
      </w:r>
      <w:r w:rsidRPr="00321ED7">
        <w:rPr>
          <w:sz w:val="20"/>
          <w:lang w:val="hr-HR"/>
        </w:rPr>
        <w:t xml:space="preserve">stopa nije objavljena, primjenjuje se referentna </w:t>
      </w:r>
      <w:r w:rsidR="00B047A3" w:rsidRPr="00321ED7">
        <w:rPr>
          <w:sz w:val="20"/>
          <w:lang w:val="hr-HR"/>
        </w:rPr>
        <w:t xml:space="preserve">kamatna </w:t>
      </w:r>
      <w:r w:rsidRPr="00321ED7">
        <w:rPr>
          <w:sz w:val="20"/>
          <w:lang w:val="hr-HR"/>
        </w:rPr>
        <w:t>stopa objavljena prvog slijedećeg dana.</w:t>
      </w:r>
    </w:p>
    <w:p w14:paraId="374F6BC6" w14:textId="77777777" w:rsidR="00120B46" w:rsidRPr="00321ED7" w:rsidRDefault="00120B46">
      <w:pPr>
        <w:pStyle w:val="BodyText"/>
        <w:tabs>
          <w:tab w:val="left" w:pos="-1985"/>
          <w:tab w:val="left" w:pos="426"/>
          <w:tab w:val="left" w:pos="993"/>
          <w:tab w:val="left" w:pos="1425"/>
        </w:tabs>
        <w:ind w:left="270" w:right="566" w:hanging="270"/>
        <w:rPr>
          <w:sz w:val="20"/>
          <w:lang w:val="hr-HR"/>
        </w:rPr>
      </w:pPr>
    </w:p>
    <w:p w14:paraId="7CE6587A" w14:textId="2E27008B" w:rsidR="00383D69" w:rsidRPr="00321ED7" w:rsidRDefault="00383D69">
      <w:pPr>
        <w:tabs>
          <w:tab w:val="left" w:pos="-1985"/>
          <w:tab w:val="left" w:pos="426"/>
          <w:tab w:val="left" w:pos="993"/>
          <w:tab w:val="left" w:pos="1425"/>
        </w:tabs>
        <w:ind w:left="360" w:right="566" w:hanging="360"/>
        <w:jc w:val="both"/>
        <w:rPr>
          <w:sz w:val="20"/>
          <w:lang w:val="hr-HR"/>
        </w:rPr>
      </w:pPr>
      <w:r w:rsidRPr="00321ED7">
        <w:rPr>
          <w:sz w:val="20"/>
          <w:lang w:val="hr-HR"/>
        </w:rPr>
        <w:t xml:space="preserve">(11) Zaokruživanje Vrijednosti: Iznosi izračunati sukladno članku 4. ovog Dodatka zaokružuju se na najbliži viši, a iznosi izračunati sukladno članku 5. ovog Dodatka zaokružuju se na najbliži niži višekratnik od </w:t>
      </w:r>
      <w:r w:rsidR="00EB23BF" w:rsidRPr="00321ED7">
        <w:rPr>
          <w:sz w:val="20"/>
          <w:lang w:val="hr-HR"/>
        </w:rPr>
        <w:t xml:space="preserve">EUR </w:t>
      </w:r>
      <w:r w:rsidRPr="00321ED7">
        <w:rPr>
          <w:sz w:val="20"/>
          <w:lang w:val="hr-HR"/>
        </w:rPr>
        <w:t>_____, osim kad se zahtjev za prijenos sukladno članku 5.(1) odnosi na sve Instrumente osiguranja koje drži Osigurana strana čija Izloženost je jednaka ili manja od nule.</w:t>
      </w:r>
    </w:p>
    <w:p w14:paraId="2BDD4073" w14:textId="77777777" w:rsidR="00120B46" w:rsidRPr="00321ED7" w:rsidRDefault="00120B46">
      <w:pPr>
        <w:tabs>
          <w:tab w:val="left" w:pos="-1985"/>
          <w:tab w:val="left" w:pos="360"/>
          <w:tab w:val="left" w:pos="426"/>
          <w:tab w:val="left" w:pos="1425"/>
        </w:tabs>
        <w:ind w:right="566"/>
        <w:jc w:val="both"/>
        <w:rPr>
          <w:sz w:val="20"/>
          <w:lang w:val="hr-HR"/>
        </w:rPr>
      </w:pPr>
    </w:p>
    <w:p w14:paraId="61FE46A1" w14:textId="294C9E87" w:rsidR="00383D69" w:rsidRPr="00321ED7" w:rsidRDefault="00383D69">
      <w:pPr>
        <w:tabs>
          <w:tab w:val="left" w:pos="-1985"/>
          <w:tab w:val="left" w:pos="426"/>
          <w:tab w:val="left" w:pos="1425"/>
        </w:tabs>
        <w:ind w:right="566"/>
        <w:rPr>
          <w:sz w:val="20"/>
          <w:lang w:val="hr-HR"/>
        </w:rPr>
      </w:pPr>
      <w:r w:rsidRPr="00321ED7">
        <w:rPr>
          <w:sz w:val="20"/>
          <w:lang w:val="hr-HR"/>
        </w:rPr>
        <w:t xml:space="preserve">(12) Alternativni iznos je: </w:t>
      </w:r>
      <w:r w:rsidR="00EB23BF" w:rsidRPr="00321ED7">
        <w:rPr>
          <w:sz w:val="20"/>
          <w:lang w:val="hr-HR"/>
        </w:rPr>
        <w:t xml:space="preserve">EUR </w:t>
      </w:r>
      <w:r w:rsidRPr="00321ED7">
        <w:rPr>
          <w:sz w:val="20"/>
          <w:lang w:val="hr-HR"/>
        </w:rPr>
        <w:t>________</w:t>
      </w:r>
    </w:p>
    <w:p w14:paraId="72E879EF" w14:textId="77777777" w:rsidR="00120B46" w:rsidRPr="00321ED7" w:rsidRDefault="00120B46">
      <w:pPr>
        <w:tabs>
          <w:tab w:val="left" w:pos="-1985"/>
          <w:tab w:val="left" w:pos="360"/>
          <w:tab w:val="left" w:pos="426"/>
          <w:tab w:val="left" w:pos="1425"/>
        </w:tabs>
        <w:ind w:right="566"/>
        <w:jc w:val="both"/>
        <w:rPr>
          <w:sz w:val="20"/>
          <w:lang w:val="hr-HR"/>
        </w:rPr>
      </w:pPr>
    </w:p>
    <w:p w14:paraId="5B9AB1CB" w14:textId="77777777" w:rsidR="00383D69" w:rsidRPr="00321ED7" w:rsidRDefault="00383D69">
      <w:pPr>
        <w:tabs>
          <w:tab w:val="left" w:pos="-1985"/>
          <w:tab w:val="left" w:pos="360"/>
          <w:tab w:val="left" w:pos="426"/>
          <w:tab w:val="left" w:pos="1425"/>
        </w:tabs>
        <w:ind w:right="566"/>
        <w:jc w:val="both"/>
        <w:rPr>
          <w:sz w:val="20"/>
          <w:lang w:val="hr-HR"/>
        </w:rPr>
      </w:pPr>
      <w:r w:rsidRPr="00321ED7">
        <w:rPr>
          <w:sz w:val="20"/>
          <w:lang w:val="hr-HR"/>
        </w:rPr>
        <w:t xml:space="preserve">(13) Sve obavijesti u vezi s ovim Dodatkom dostavljaju se na sljedeće adrese: </w:t>
      </w:r>
    </w:p>
    <w:p w14:paraId="58A3AF35" w14:textId="77777777" w:rsidR="00383D69" w:rsidRPr="00321ED7" w:rsidRDefault="00383D69">
      <w:pPr>
        <w:tabs>
          <w:tab w:val="left" w:pos="-1985"/>
          <w:tab w:val="left" w:pos="360"/>
          <w:tab w:val="left" w:pos="426"/>
          <w:tab w:val="left" w:pos="1425"/>
        </w:tabs>
        <w:ind w:right="566"/>
        <w:rPr>
          <w:sz w:val="20"/>
          <w:lang w:val="hr-HR"/>
        </w:rPr>
      </w:pPr>
    </w:p>
    <w:tbl>
      <w:tblPr>
        <w:tblW w:w="0" w:type="auto"/>
        <w:tblInd w:w="387" w:type="dxa"/>
        <w:tblLayout w:type="fixed"/>
        <w:tblLook w:val="0000" w:firstRow="0" w:lastRow="0" w:firstColumn="0" w:lastColumn="0" w:noHBand="0" w:noVBand="0"/>
      </w:tblPr>
      <w:tblGrid>
        <w:gridCol w:w="1820"/>
        <w:gridCol w:w="7309"/>
      </w:tblGrid>
      <w:tr w:rsidR="00383D69" w:rsidRPr="00321ED7" w14:paraId="13CAF3E6" w14:textId="77777777">
        <w:tc>
          <w:tcPr>
            <w:tcW w:w="1820" w:type="dxa"/>
            <w:tcBorders>
              <w:top w:val="single" w:sz="4" w:space="0" w:color="000000"/>
              <w:left w:val="single" w:sz="4" w:space="0" w:color="000000"/>
              <w:bottom w:val="single" w:sz="4" w:space="0" w:color="000000"/>
            </w:tcBorders>
            <w:shd w:val="clear" w:color="auto" w:fill="auto"/>
          </w:tcPr>
          <w:p w14:paraId="1A8564C4" w14:textId="77777777" w:rsidR="00383D69" w:rsidRPr="00321ED7" w:rsidRDefault="00383D69">
            <w:pPr>
              <w:tabs>
                <w:tab w:val="left" w:pos="-1985"/>
                <w:tab w:val="left" w:pos="426"/>
              </w:tabs>
              <w:snapToGrid w:val="0"/>
              <w:ind w:right="-108"/>
              <w:rPr>
                <w:sz w:val="20"/>
                <w:lang w:val="hr-HR"/>
              </w:rPr>
            </w:pPr>
            <w:r w:rsidRPr="00321ED7">
              <w:rPr>
                <w:sz w:val="20"/>
                <w:lang w:val="hr-HR"/>
              </w:rPr>
              <w:t>Strana A</w:t>
            </w:r>
          </w:p>
        </w:tc>
        <w:tc>
          <w:tcPr>
            <w:tcW w:w="7309" w:type="dxa"/>
            <w:tcBorders>
              <w:top w:val="single" w:sz="4" w:space="0" w:color="000000"/>
              <w:left w:val="single" w:sz="4" w:space="0" w:color="000000"/>
              <w:bottom w:val="single" w:sz="4" w:space="0" w:color="000000"/>
              <w:right w:val="single" w:sz="4" w:space="0" w:color="000000"/>
            </w:tcBorders>
            <w:shd w:val="clear" w:color="auto" w:fill="auto"/>
          </w:tcPr>
          <w:p w14:paraId="0A7764E2" w14:textId="77777777" w:rsidR="00383D69" w:rsidRPr="00321ED7" w:rsidRDefault="00383D69">
            <w:pPr>
              <w:tabs>
                <w:tab w:val="left" w:pos="-1985"/>
                <w:tab w:val="left" w:pos="426"/>
              </w:tabs>
              <w:snapToGrid w:val="0"/>
              <w:ind w:right="566"/>
              <w:rPr>
                <w:sz w:val="20"/>
                <w:lang w:val="hr-HR"/>
              </w:rPr>
            </w:pPr>
          </w:p>
          <w:p w14:paraId="2165F5FD" w14:textId="77777777" w:rsidR="00383D69" w:rsidRPr="00321ED7" w:rsidRDefault="00383D69">
            <w:pPr>
              <w:tabs>
                <w:tab w:val="left" w:pos="-1985"/>
                <w:tab w:val="left" w:pos="426"/>
              </w:tabs>
              <w:ind w:right="566"/>
              <w:rPr>
                <w:sz w:val="20"/>
                <w:lang w:val="hr-HR"/>
              </w:rPr>
            </w:pPr>
          </w:p>
          <w:p w14:paraId="5F9AB41D" w14:textId="77777777" w:rsidR="00383D69" w:rsidRPr="00321ED7" w:rsidRDefault="00383D69">
            <w:pPr>
              <w:tabs>
                <w:tab w:val="left" w:pos="-1985"/>
                <w:tab w:val="left" w:pos="426"/>
              </w:tabs>
              <w:ind w:right="566"/>
              <w:rPr>
                <w:sz w:val="20"/>
                <w:lang w:val="hr-HR"/>
              </w:rPr>
            </w:pPr>
          </w:p>
          <w:p w14:paraId="4CFCA822" w14:textId="77777777" w:rsidR="00383D69" w:rsidRPr="00321ED7" w:rsidRDefault="00383D69">
            <w:pPr>
              <w:tabs>
                <w:tab w:val="left" w:pos="-1985"/>
                <w:tab w:val="left" w:pos="426"/>
              </w:tabs>
              <w:ind w:right="566"/>
              <w:rPr>
                <w:sz w:val="20"/>
                <w:lang w:val="hr-HR"/>
              </w:rPr>
            </w:pPr>
          </w:p>
        </w:tc>
      </w:tr>
      <w:tr w:rsidR="00383D69" w:rsidRPr="00321ED7" w14:paraId="73C7EC67" w14:textId="77777777" w:rsidTr="00120B46">
        <w:trPr>
          <w:trHeight w:val="871"/>
        </w:trPr>
        <w:tc>
          <w:tcPr>
            <w:tcW w:w="1820" w:type="dxa"/>
            <w:tcBorders>
              <w:top w:val="single" w:sz="4" w:space="0" w:color="000000"/>
              <w:left w:val="single" w:sz="4" w:space="0" w:color="000000"/>
              <w:bottom w:val="single" w:sz="4" w:space="0" w:color="000000"/>
            </w:tcBorders>
            <w:shd w:val="clear" w:color="auto" w:fill="auto"/>
          </w:tcPr>
          <w:p w14:paraId="6BFB8655" w14:textId="77777777" w:rsidR="00383D69" w:rsidRPr="00321ED7" w:rsidRDefault="00383D69">
            <w:pPr>
              <w:tabs>
                <w:tab w:val="left" w:pos="-1985"/>
                <w:tab w:val="left" w:pos="426"/>
              </w:tabs>
              <w:snapToGrid w:val="0"/>
              <w:ind w:right="566"/>
              <w:rPr>
                <w:sz w:val="20"/>
                <w:lang w:val="hr-HR"/>
              </w:rPr>
            </w:pPr>
            <w:r w:rsidRPr="00321ED7">
              <w:rPr>
                <w:sz w:val="20"/>
                <w:lang w:val="hr-HR"/>
              </w:rPr>
              <w:t>Strana B</w:t>
            </w:r>
          </w:p>
        </w:tc>
        <w:tc>
          <w:tcPr>
            <w:tcW w:w="7309" w:type="dxa"/>
            <w:tcBorders>
              <w:top w:val="single" w:sz="4" w:space="0" w:color="000000"/>
              <w:left w:val="single" w:sz="4" w:space="0" w:color="000000"/>
              <w:bottom w:val="single" w:sz="4" w:space="0" w:color="000000"/>
              <w:right w:val="single" w:sz="4" w:space="0" w:color="000000"/>
            </w:tcBorders>
            <w:shd w:val="clear" w:color="auto" w:fill="auto"/>
          </w:tcPr>
          <w:p w14:paraId="2B5D6B88" w14:textId="77777777" w:rsidR="00383D69" w:rsidRPr="00321ED7" w:rsidRDefault="00383D69">
            <w:pPr>
              <w:tabs>
                <w:tab w:val="left" w:pos="1440"/>
                <w:tab w:val="left" w:pos="2223"/>
                <w:tab w:val="right" w:pos="2880"/>
              </w:tabs>
              <w:snapToGrid w:val="0"/>
              <w:jc w:val="both"/>
              <w:rPr>
                <w:sz w:val="20"/>
                <w:lang w:val="hr-HR"/>
              </w:rPr>
            </w:pPr>
          </w:p>
          <w:p w14:paraId="39F3159A" w14:textId="77777777" w:rsidR="00383D69" w:rsidRPr="00321ED7" w:rsidRDefault="00383D69">
            <w:pPr>
              <w:tabs>
                <w:tab w:val="left" w:pos="1440"/>
                <w:tab w:val="left" w:pos="2223"/>
                <w:tab w:val="right" w:pos="2880"/>
              </w:tabs>
              <w:jc w:val="both"/>
              <w:rPr>
                <w:sz w:val="20"/>
                <w:lang w:val="hr-HR"/>
              </w:rPr>
            </w:pPr>
          </w:p>
          <w:p w14:paraId="3D907C94" w14:textId="77777777" w:rsidR="00383D69" w:rsidRPr="00321ED7" w:rsidRDefault="00383D69">
            <w:pPr>
              <w:tabs>
                <w:tab w:val="left" w:pos="1440"/>
                <w:tab w:val="left" w:pos="2223"/>
                <w:tab w:val="right" w:pos="2880"/>
              </w:tabs>
              <w:jc w:val="both"/>
              <w:rPr>
                <w:sz w:val="20"/>
                <w:lang w:val="hr-HR"/>
              </w:rPr>
            </w:pPr>
          </w:p>
          <w:p w14:paraId="6B08061E" w14:textId="77777777" w:rsidR="00383D69" w:rsidRPr="00321ED7" w:rsidRDefault="00383D69">
            <w:pPr>
              <w:tabs>
                <w:tab w:val="left" w:pos="1440"/>
                <w:tab w:val="left" w:pos="2223"/>
                <w:tab w:val="right" w:pos="2880"/>
              </w:tabs>
              <w:jc w:val="both"/>
              <w:rPr>
                <w:sz w:val="20"/>
                <w:lang w:val="hr-HR"/>
              </w:rPr>
            </w:pPr>
          </w:p>
          <w:p w14:paraId="2DDF8A43" w14:textId="77777777" w:rsidR="00383D69" w:rsidRPr="00321ED7" w:rsidRDefault="00383D69">
            <w:pPr>
              <w:tabs>
                <w:tab w:val="left" w:pos="1440"/>
                <w:tab w:val="left" w:pos="2223"/>
                <w:tab w:val="right" w:pos="2880"/>
              </w:tabs>
              <w:jc w:val="both"/>
              <w:rPr>
                <w:sz w:val="20"/>
                <w:lang w:val="hr-HR"/>
              </w:rPr>
            </w:pPr>
          </w:p>
        </w:tc>
      </w:tr>
    </w:tbl>
    <w:p w14:paraId="57C510DF" w14:textId="77777777" w:rsidR="00383D69" w:rsidRPr="00321ED7" w:rsidRDefault="00383D69">
      <w:pPr>
        <w:tabs>
          <w:tab w:val="left" w:pos="-1985"/>
          <w:tab w:val="left" w:pos="426"/>
          <w:tab w:val="left" w:pos="1425"/>
        </w:tabs>
        <w:ind w:right="566"/>
        <w:rPr>
          <w:sz w:val="20"/>
          <w:lang w:val="hr-HR"/>
        </w:rPr>
      </w:pPr>
    </w:p>
    <w:p w14:paraId="3E2512C1" w14:textId="77777777" w:rsidR="00383D69" w:rsidRPr="00321ED7" w:rsidRDefault="00383D69">
      <w:pPr>
        <w:tabs>
          <w:tab w:val="left" w:pos="-1985"/>
          <w:tab w:val="left" w:pos="426"/>
          <w:tab w:val="left" w:pos="1425"/>
        </w:tabs>
        <w:ind w:right="566"/>
        <w:rPr>
          <w:sz w:val="20"/>
          <w:lang w:val="hr-HR"/>
        </w:rPr>
      </w:pPr>
      <w:r w:rsidRPr="00321ED7">
        <w:rPr>
          <w:sz w:val="20"/>
          <w:lang w:val="hr-HR"/>
        </w:rPr>
        <w:t>(14) Ostale odredbe:</w:t>
      </w:r>
    </w:p>
    <w:p w14:paraId="2F4D447D" w14:textId="77777777" w:rsidR="00383D69" w:rsidRPr="00321ED7" w:rsidRDefault="00383D69">
      <w:pPr>
        <w:tabs>
          <w:tab w:val="left" w:pos="-1985"/>
        </w:tabs>
        <w:ind w:left="360" w:right="566"/>
        <w:jc w:val="both"/>
        <w:rPr>
          <w:sz w:val="20"/>
          <w:lang w:val="hr-HR"/>
        </w:rPr>
      </w:pPr>
    </w:p>
    <w:p w14:paraId="42494919" w14:textId="77777777" w:rsidR="00383D69" w:rsidRPr="00321ED7" w:rsidRDefault="00383D69">
      <w:pPr>
        <w:spacing w:line="192" w:lineRule="exact"/>
        <w:ind w:left="360" w:right="566"/>
        <w:jc w:val="both"/>
        <w:rPr>
          <w:sz w:val="20"/>
          <w:lang w:val="hr-HR"/>
        </w:rPr>
      </w:pPr>
      <w:r w:rsidRPr="00321ED7">
        <w:rPr>
          <w:sz w:val="20"/>
          <w:lang w:val="hr-HR"/>
        </w:rPr>
        <w:t xml:space="preserve"> </w:t>
      </w:r>
    </w:p>
    <w:p w14:paraId="10862E2F" w14:textId="77777777" w:rsidR="00120B46" w:rsidRPr="00321ED7" w:rsidRDefault="00120B46">
      <w:pPr>
        <w:tabs>
          <w:tab w:val="left" w:pos="4282"/>
        </w:tabs>
        <w:spacing w:line="192" w:lineRule="exact"/>
        <w:ind w:right="566"/>
        <w:jc w:val="both"/>
        <w:rPr>
          <w:sz w:val="20"/>
          <w:lang w:val="hr-HR"/>
        </w:rPr>
      </w:pPr>
    </w:p>
    <w:p w14:paraId="06A67C59" w14:textId="77777777" w:rsidR="00120B46" w:rsidRPr="00321ED7" w:rsidRDefault="00120B46" w:rsidP="00B047A3">
      <w:pPr>
        <w:tabs>
          <w:tab w:val="left" w:pos="5670"/>
        </w:tabs>
        <w:ind w:left="709"/>
        <w:jc w:val="both"/>
        <w:rPr>
          <w:rFonts w:cs="Arial"/>
          <w:sz w:val="20"/>
        </w:rPr>
      </w:pPr>
    </w:p>
    <w:p w14:paraId="3BFD0972" w14:textId="77777777" w:rsidR="00120B46" w:rsidRPr="00321ED7" w:rsidRDefault="00120B46" w:rsidP="00B047A3">
      <w:pPr>
        <w:tabs>
          <w:tab w:val="left" w:pos="5670"/>
        </w:tabs>
        <w:ind w:left="709"/>
        <w:jc w:val="both"/>
        <w:rPr>
          <w:rFonts w:cs="Arial"/>
          <w:sz w:val="20"/>
        </w:rPr>
      </w:pPr>
    </w:p>
    <w:p w14:paraId="75602D35" w14:textId="77777777" w:rsidR="00120B46" w:rsidRPr="00321ED7" w:rsidRDefault="00120B46" w:rsidP="00B047A3">
      <w:pPr>
        <w:tabs>
          <w:tab w:val="left" w:pos="5670"/>
        </w:tabs>
        <w:ind w:left="709"/>
        <w:jc w:val="both"/>
        <w:rPr>
          <w:rFonts w:cs="Arial"/>
          <w:sz w:val="20"/>
        </w:rPr>
      </w:pPr>
    </w:p>
    <w:p w14:paraId="05B33F72" w14:textId="77777777" w:rsidR="00120B46" w:rsidRPr="00321ED7" w:rsidRDefault="00120B46" w:rsidP="00B047A3">
      <w:pPr>
        <w:tabs>
          <w:tab w:val="left" w:pos="5670"/>
        </w:tabs>
        <w:ind w:left="709"/>
        <w:jc w:val="both"/>
        <w:rPr>
          <w:rFonts w:cs="Arial"/>
          <w:sz w:val="20"/>
        </w:rPr>
      </w:pPr>
    </w:p>
    <w:p w14:paraId="4895AF30" w14:textId="77777777" w:rsidR="00120B46" w:rsidRPr="00321ED7" w:rsidRDefault="00120B46" w:rsidP="00B047A3">
      <w:pPr>
        <w:tabs>
          <w:tab w:val="left" w:pos="5670"/>
        </w:tabs>
        <w:ind w:left="709"/>
        <w:jc w:val="both"/>
        <w:rPr>
          <w:rFonts w:cs="Arial"/>
          <w:sz w:val="20"/>
        </w:rPr>
      </w:pPr>
    </w:p>
    <w:p w14:paraId="316E95D0" w14:textId="77777777" w:rsidR="00B047A3" w:rsidRPr="00321ED7" w:rsidRDefault="00B047A3" w:rsidP="00B047A3">
      <w:pPr>
        <w:tabs>
          <w:tab w:val="left" w:pos="5670"/>
        </w:tabs>
        <w:ind w:left="709"/>
        <w:jc w:val="both"/>
        <w:rPr>
          <w:rFonts w:cs="Arial"/>
          <w:sz w:val="20"/>
        </w:rPr>
      </w:pPr>
      <w:r w:rsidRPr="00321ED7">
        <w:rPr>
          <w:rFonts w:cs="Arial"/>
          <w:sz w:val="20"/>
        </w:rPr>
        <w:t xml:space="preserve">                 STRANA A</w:t>
      </w:r>
      <w:r w:rsidRPr="00321ED7">
        <w:rPr>
          <w:rFonts w:cs="Arial"/>
          <w:sz w:val="20"/>
        </w:rPr>
        <w:tab/>
        <w:t xml:space="preserve">                      STRANA B </w:t>
      </w:r>
    </w:p>
    <w:p w14:paraId="7A760A13" w14:textId="77777777" w:rsidR="00B047A3" w:rsidRPr="00321ED7" w:rsidRDefault="00B047A3" w:rsidP="00B047A3">
      <w:pPr>
        <w:jc w:val="both"/>
        <w:rPr>
          <w:rFonts w:cs="Arial"/>
          <w:sz w:val="20"/>
        </w:rPr>
      </w:pPr>
    </w:p>
    <w:p w14:paraId="1D6D7FFA" w14:textId="77777777" w:rsidR="00B047A3" w:rsidRPr="00321ED7" w:rsidRDefault="00B047A3" w:rsidP="00B047A3">
      <w:pPr>
        <w:jc w:val="both"/>
        <w:rPr>
          <w:rFonts w:cs="Arial"/>
          <w:sz w:val="20"/>
        </w:rPr>
      </w:pPr>
    </w:p>
    <w:p w14:paraId="0CD36414" w14:textId="77777777" w:rsidR="00B047A3" w:rsidRPr="00321ED7" w:rsidRDefault="00B047A3" w:rsidP="00B047A3">
      <w:pPr>
        <w:jc w:val="both"/>
        <w:rPr>
          <w:rFonts w:cs="Arial"/>
          <w:sz w:val="20"/>
        </w:rPr>
      </w:pPr>
    </w:p>
    <w:p w14:paraId="24B306F8" w14:textId="77777777" w:rsidR="00B047A3" w:rsidRPr="00321ED7" w:rsidRDefault="00B047A3" w:rsidP="00B047A3">
      <w:pPr>
        <w:tabs>
          <w:tab w:val="left" w:pos="5103"/>
        </w:tabs>
        <w:jc w:val="center"/>
        <w:rPr>
          <w:rFonts w:cs="Arial"/>
          <w:sz w:val="20"/>
        </w:rPr>
      </w:pPr>
      <w:r w:rsidRPr="00321ED7">
        <w:rPr>
          <w:rFonts w:cs="Arial"/>
          <w:sz w:val="20"/>
        </w:rPr>
        <w:t xml:space="preserve">________________________ </w:t>
      </w:r>
      <w:r w:rsidRPr="00321ED7">
        <w:rPr>
          <w:rFonts w:cs="Arial"/>
          <w:sz w:val="20"/>
        </w:rPr>
        <w:tab/>
        <w:t>_______________________</w:t>
      </w:r>
    </w:p>
    <w:p w14:paraId="031F1850" w14:textId="77777777" w:rsidR="00B047A3" w:rsidRPr="00321ED7" w:rsidRDefault="00B047A3" w:rsidP="00B047A3">
      <w:pPr>
        <w:jc w:val="both"/>
        <w:rPr>
          <w:rFonts w:cs="Arial"/>
          <w:sz w:val="20"/>
        </w:rPr>
      </w:pPr>
    </w:p>
    <w:p w14:paraId="5AF45BB9" w14:textId="77777777" w:rsidR="00B047A3" w:rsidRPr="00321ED7" w:rsidRDefault="00B047A3" w:rsidP="00B047A3">
      <w:pPr>
        <w:jc w:val="both"/>
        <w:rPr>
          <w:rFonts w:cs="Arial"/>
          <w:sz w:val="20"/>
        </w:rPr>
      </w:pPr>
    </w:p>
    <w:p w14:paraId="6B6FBDEB" w14:textId="77777777" w:rsidR="00B047A3" w:rsidRPr="00321ED7" w:rsidRDefault="00B047A3" w:rsidP="00B047A3">
      <w:pPr>
        <w:jc w:val="both"/>
        <w:rPr>
          <w:rFonts w:cs="Arial"/>
          <w:sz w:val="20"/>
        </w:rPr>
      </w:pPr>
    </w:p>
    <w:p w14:paraId="38D5DEED" w14:textId="77777777" w:rsidR="00B047A3" w:rsidRPr="00321ED7" w:rsidRDefault="00B047A3" w:rsidP="00B047A3">
      <w:pPr>
        <w:tabs>
          <w:tab w:val="left" w:pos="5103"/>
        </w:tabs>
        <w:jc w:val="center"/>
        <w:rPr>
          <w:rFonts w:cs="Arial"/>
          <w:sz w:val="20"/>
        </w:rPr>
      </w:pPr>
      <w:r w:rsidRPr="00321ED7">
        <w:rPr>
          <w:rFonts w:cs="Arial"/>
          <w:sz w:val="20"/>
        </w:rPr>
        <w:t xml:space="preserve">________________________ </w:t>
      </w:r>
      <w:r w:rsidRPr="00321ED7">
        <w:rPr>
          <w:rFonts w:cs="Arial"/>
          <w:sz w:val="20"/>
        </w:rPr>
        <w:tab/>
        <w:t>_______________________</w:t>
      </w:r>
    </w:p>
    <w:p w14:paraId="7FD5FBFE" w14:textId="77777777" w:rsidR="00B047A3" w:rsidRPr="00321ED7" w:rsidRDefault="00B047A3" w:rsidP="00B047A3">
      <w:pPr>
        <w:jc w:val="both"/>
        <w:rPr>
          <w:rFonts w:cs="Arial"/>
          <w:sz w:val="20"/>
        </w:rPr>
      </w:pPr>
    </w:p>
    <w:p w14:paraId="4F312D91" w14:textId="77777777" w:rsidR="00383D69" w:rsidRPr="00321ED7" w:rsidRDefault="00120B46">
      <w:pPr>
        <w:spacing w:line="192" w:lineRule="exact"/>
        <w:ind w:right="566"/>
        <w:jc w:val="center"/>
        <w:rPr>
          <w:b/>
          <w:sz w:val="20"/>
          <w:lang w:val="hr-HR"/>
        </w:rPr>
      </w:pPr>
      <w:r w:rsidRPr="00321ED7">
        <w:rPr>
          <w:b/>
          <w:sz w:val="20"/>
          <w:lang w:val="hr-HR"/>
        </w:rPr>
        <w:br w:type="page"/>
      </w:r>
      <w:r w:rsidR="00383D69" w:rsidRPr="00321ED7">
        <w:rPr>
          <w:b/>
          <w:sz w:val="20"/>
          <w:lang w:val="hr-HR"/>
        </w:rPr>
        <w:lastRenderedPageBreak/>
        <w:t>PRILOG I</w:t>
      </w:r>
    </w:p>
    <w:p w14:paraId="2CADFBE7" w14:textId="77777777" w:rsidR="00383D69" w:rsidRPr="00321ED7" w:rsidRDefault="00383D69">
      <w:pPr>
        <w:spacing w:line="192" w:lineRule="exact"/>
        <w:ind w:right="566"/>
        <w:jc w:val="center"/>
        <w:rPr>
          <w:b/>
          <w:sz w:val="20"/>
          <w:lang w:val="hr-HR"/>
        </w:rPr>
      </w:pPr>
      <w:r w:rsidRPr="00321ED7">
        <w:rPr>
          <w:b/>
          <w:sz w:val="20"/>
          <w:lang w:val="hr-HR"/>
        </w:rPr>
        <w:t xml:space="preserve">Osigurane transakcije </w:t>
      </w:r>
    </w:p>
    <w:p w14:paraId="29A599CC" w14:textId="77777777" w:rsidR="00383D69" w:rsidRPr="00321ED7" w:rsidRDefault="00383D69">
      <w:pPr>
        <w:spacing w:line="192" w:lineRule="exact"/>
        <w:ind w:right="566"/>
        <w:jc w:val="both"/>
        <w:rPr>
          <w:sz w:val="20"/>
          <w:lang w:val="hr-HR"/>
        </w:rPr>
      </w:pPr>
    </w:p>
    <w:p w14:paraId="5109E885" w14:textId="77777777" w:rsidR="00383D69" w:rsidRPr="00321ED7" w:rsidRDefault="00383D69">
      <w:pPr>
        <w:spacing w:line="192" w:lineRule="exact"/>
        <w:ind w:right="566"/>
        <w:jc w:val="both"/>
        <w:rPr>
          <w:sz w:val="20"/>
          <w:lang w:val="hr-HR"/>
        </w:rPr>
      </w:pPr>
    </w:p>
    <w:p w14:paraId="042A261D" w14:textId="77777777" w:rsidR="00383D69" w:rsidRPr="00321ED7" w:rsidRDefault="00383D69">
      <w:pPr>
        <w:widowControl w:val="0"/>
        <w:tabs>
          <w:tab w:val="left" w:pos="0"/>
          <w:tab w:val="left" w:pos="28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 w:val="20"/>
          <w:lang w:val="hr-HR"/>
        </w:rPr>
      </w:pPr>
      <w:r w:rsidRPr="00321ED7">
        <w:rPr>
          <w:sz w:val="20"/>
          <w:lang w:val="hr-HR"/>
        </w:rPr>
        <w:t>Svaka vrsta Transakcije navedena u donjoj točki (b), a u vezi s kojom ugovorne strane djeluju na adresama navedenim u točki (a), smatra se Osiguranom transakcijom:</w:t>
      </w:r>
    </w:p>
    <w:p w14:paraId="6004DA4F" w14:textId="77777777" w:rsidR="00383D69" w:rsidRPr="00321ED7" w:rsidRDefault="00383D69">
      <w:pPr>
        <w:widowControl w:val="0"/>
        <w:tabs>
          <w:tab w:val="left" w:pos="0"/>
          <w:tab w:val="left" w:pos="28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 w:val="20"/>
          <w:lang w:val="hr-HR"/>
        </w:rPr>
      </w:pPr>
    </w:p>
    <w:p w14:paraId="3537F63F" w14:textId="77777777" w:rsidR="00383D69" w:rsidRPr="00321ED7" w:rsidRDefault="00383D69">
      <w:pPr>
        <w:widowControl w:val="0"/>
        <w:tabs>
          <w:tab w:val="left" w:pos="0"/>
          <w:tab w:val="left" w:pos="28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 w:val="20"/>
          <w:lang w:val="hr-HR"/>
        </w:rPr>
      </w:pPr>
      <w:r w:rsidRPr="00321ED7">
        <w:rPr>
          <w:sz w:val="20"/>
          <w:lang w:val="hr-HR"/>
        </w:rPr>
        <w:t>(a) Za potrebe ovog Priloga,</w:t>
      </w:r>
    </w:p>
    <w:p w14:paraId="3EEE97CB" w14:textId="77777777" w:rsidR="00383D69" w:rsidRPr="00321ED7" w:rsidRDefault="00383D69">
      <w:pPr>
        <w:widowControl w:val="0"/>
        <w:tabs>
          <w:tab w:val="left" w:pos="0"/>
          <w:tab w:val="left" w:pos="28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 w:val="20"/>
          <w:lang w:val="hr-HR"/>
        </w:rPr>
      </w:pPr>
    </w:p>
    <w:p w14:paraId="62421678" w14:textId="77777777" w:rsidR="00383D69" w:rsidRPr="00321ED7" w:rsidRDefault="00383D69">
      <w:pPr>
        <w:widowControl w:val="0"/>
        <w:tabs>
          <w:tab w:val="left" w:pos="0"/>
          <w:tab w:val="left" w:pos="28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 w:val="20"/>
          <w:lang w:val="hr-HR"/>
        </w:rPr>
      </w:pPr>
      <w:r w:rsidRPr="00321ED7">
        <w:rPr>
          <w:sz w:val="20"/>
          <w:lang w:val="hr-HR"/>
        </w:rPr>
        <w:tab/>
        <w:t>adresa Strane A je:</w:t>
      </w:r>
    </w:p>
    <w:p w14:paraId="1C64DDA0" w14:textId="77777777" w:rsidR="00383D69" w:rsidRPr="00321ED7" w:rsidRDefault="00383D69">
      <w:pPr>
        <w:widowControl w:val="0"/>
        <w:tabs>
          <w:tab w:val="left" w:pos="0"/>
          <w:tab w:val="left" w:pos="28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2124"/>
        <w:jc w:val="both"/>
        <w:rPr>
          <w:sz w:val="20"/>
          <w:lang w:val="hr-HR"/>
        </w:rPr>
      </w:pPr>
      <w:r w:rsidRPr="00321ED7">
        <w:rPr>
          <w:sz w:val="20"/>
          <w:lang w:val="hr-HR"/>
        </w:rPr>
        <w:tab/>
        <w:t>_______________</w:t>
      </w:r>
    </w:p>
    <w:p w14:paraId="64970968" w14:textId="77777777" w:rsidR="00383D69" w:rsidRPr="00321ED7" w:rsidRDefault="00383D69">
      <w:pPr>
        <w:widowControl w:val="0"/>
        <w:tabs>
          <w:tab w:val="left" w:pos="0"/>
          <w:tab w:val="left" w:pos="28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2124"/>
        <w:jc w:val="both"/>
        <w:rPr>
          <w:sz w:val="20"/>
          <w:lang w:val="hr-HR"/>
        </w:rPr>
      </w:pPr>
      <w:r w:rsidRPr="00321ED7">
        <w:rPr>
          <w:sz w:val="20"/>
          <w:lang w:val="hr-HR"/>
        </w:rPr>
        <w:tab/>
        <w:t>_______________</w:t>
      </w:r>
    </w:p>
    <w:p w14:paraId="1150C329" w14:textId="77777777" w:rsidR="00383D69" w:rsidRPr="00321ED7" w:rsidRDefault="00383D69">
      <w:pPr>
        <w:widowControl w:val="0"/>
        <w:tabs>
          <w:tab w:val="left" w:pos="0"/>
          <w:tab w:val="left" w:pos="28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2124"/>
        <w:jc w:val="both"/>
        <w:rPr>
          <w:sz w:val="20"/>
          <w:lang w:val="hr-HR"/>
        </w:rPr>
      </w:pPr>
      <w:r w:rsidRPr="00321ED7">
        <w:rPr>
          <w:sz w:val="20"/>
          <w:lang w:val="hr-HR"/>
        </w:rPr>
        <w:tab/>
        <w:t>_______________</w:t>
      </w:r>
    </w:p>
    <w:p w14:paraId="625BB058" w14:textId="77777777" w:rsidR="00383D69" w:rsidRPr="00321ED7" w:rsidRDefault="00383D69">
      <w:pPr>
        <w:widowControl w:val="0"/>
        <w:tabs>
          <w:tab w:val="left" w:pos="0"/>
          <w:tab w:val="left" w:pos="28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 w:val="20"/>
          <w:lang w:val="hr-HR"/>
        </w:rPr>
      </w:pPr>
    </w:p>
    <w:p w14:paraId="7288FF80" w14:textId="77777777" w:rsidR="00383D69" w:rsidRPr="00321ED7" w:rsidRDefault="00383D69">
      <w:pPr>
        <w:widowControl w:val="0"/>
        <w:tabs>
          <w:tab w:val="left" w:pos="0"/>
          <w:tab w:val="left" w:pos="28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 w:val="20"/>
          <w:lang w:val="hr-HR"/>
        </w:rPr>
      </w:pPr>
    </w:p>
    <w:p w14:paraId="0CBEC20C" w14:textId="77777777" w:rsidR="00383D69" w:rsidRPr="00321ED7" w:rsidRDefault="00383D69">
      <w:pPr>
        <w:widowControl w:val="0"/>
        <w:tabs>
          <w:tab w:val="left" w:pos="0"/>
          <w:tab w:val="left" w:pos="28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 w:val="20"/>
          <w:lang w:val="hr-HR"/>
        </w:rPr>
      </w:pPr>
    </w:p>
    <w:p w14:paraId="0D26F33F" w14:textId="77777777" w:rsidR="00383D69" w:rsidRPr="00321ED7" w:rsidRDefault="00383D69">
      <w:pPr>
        <w:widowControl w:val="0"/>
        <w:tabs>
          <w:tab w:val="left" w:pos="0"/>
          <w:tab w:val="left" w:pos="28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 w:val="20"/>
          <w:lang w:val="hr-HR"/>
        </w:rPr>
      </w:pPr>
      <w:r w:rsidRPr="00321ED7">
        <w:rPr>
          <w:sz w:val="20"/>
          <w:lang w:val="hr-HR"/>
        </w:rPr>
        <w:tab/>
        <w:t>adresa Strane B je:</w:t>
      </w:r>
    </w:p>
    <w:p w14:paraId="2A4E63CC" w14:textId="77777777" w:rsidR="00383D69" w:rsidRPr="00321ED7" w:rsidRDefault="00383D69">
      <w:pPr>
        <w:widowControl w:val="0"/>
        <w:tabs>
          <w:tab w:val="left" w:pos="0"/>
          <w:tab w:val="left" w:pos="28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2124"/>
        <w:jc w:val="both"/>
        <w:rPr>
          <w:sz w:val="20"/>
          <w:lang w:val="hr-HR"/>
        </w:rPr>
      </w:pPr>
      <w:r w:rsidRPr="00321ED7">
        <w:rPr>
          <w:sz w:val="20"/>
          <w:lang w:val="hr-HR"/>
        </w:rPr>
        <w:tab/>
        <w:t>_______________</w:t>
      </w:r>
    </w:p>
    <w:p w14:paraId="1C574D85" w14:textId="77777777" w:rsidR="00383D69" w:rsidRPr="00321ED7" w:rsidRDefault="00383D69">
      <w:pPr>
        <w:widowControl w:val="0"/>
        <w:tabs>
          <w:tab w:val="left" w:pos="0"/>
          <w:tab w:val="left" w:pos="28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2124"/>
        <w:jc w:val="both"/>
        <w:rPr>
          <w:sz w:val="20"/>
          <w:lang w:val="hr-HR"/>
        </w:rPr>
      </w:pPr>
      <w:r w:rsidRPr="00321ED7">
        <w:rPr>
          <w:sz w:val="20"/>
          <w:lang w:val="hr-HR"/>
        </w:rPr>
        <w:tab/>
        <w:t>_______________</w:t>
      </w:r>
    </w:p>
    <w:p w14:paraId="5C45BAEF" w14:textId="77777777" w:rsidR="00383D69" w:rsidRPr="00321ED7" w:rsidRDefault="00383D69">
      <w:pPr>
        <w:widowControl w:val="0"/>
        <w:tabs>
          <w:tab w:val="left" w:pos="0"/>
          <w:tab w:val="left" w:pos="28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 w:val="20"/>
          <w:lang w:val="hr-HR"/>
        </w:rPr>
      </w:pPr>
      <w:r w:rsidRPr="00321ED7">
        <w:rPr>
          <w:sz w:val="20"/>
          <w:lang w:val="hr-HR"/>
        </w:rPr>
        <w:tab/>
      </w:r>
      <w:r w:rsidRPr="00321ED7">
        <w:rPr>
          <w:sz w:val="20"/>
          <w:lang w:val="hr-HR"/>
        </w:rPr>
        <w:tab/>
      </w:r>
      <w:r w:rsidRPr="00321ED7">
        <w:rPr>
          <w:sz w:val="20"/>
          <w:lang w:val="hr-HR"/>
        </w:rPr>
        <w:tab/>
      </w:r>
      <w:r w:rsidRPr="00321ED7">
        <w:rPr>
          <w:sz w:val="20"/>
          <w:lang w:val="hr-HR"/>
        </w:rPr>
        <w:tab/>
        <w:t>_______________</w:t>
      </w:r>
    </w:p>
    <w:p w14:paraId="7A2157EF" w14:textId="77777777" w:rsidR="00383D69" w:rsidRPr="00321ED7" w:rsidRDefault="00383D69">
      <w:pPr>
        <w:widowControl w:val="0"/>
        <w:tabs>
          <w:tab w:val="left" w:pos="0"/>
          <w:tab w:val="left" w:pos="28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 w:val="20"/>
          <w:lang w:val="hr-HR"/>
        </w:rPr>
      </w:pPr>
    </w:p>
    <w:p w14:paraId="6C37685A" w14:textId="77777777" w:rsidR="00383D69" w:rsidRPr="00321ED7" w:rsidRDefault="00383D69">
      <w:pPr>
        <w:widowControl w:val="0"/>
        <w:tabs>
          <w:tab w:val="left" w:pos="0"/>
          <w:tab w:val="left" w:pos="28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 w:val="20"/>
          <w:lang w:val="hr-HR"/>
        </w:rPr>
      </w:pPr>
    </w:p>
    <w:p w14:paraId="24AB40B4" w14:textId="77777777" w:rsidR="00383D69" w:rsidRPr="00321ED7" w:rsidRDefault="00383D69">
      <w:pPr>
        <w:widowControl w:val="0"/>
        <w:tabs>
          <w:tab w:val="left" w:pos="0"/>
          <w:tab w:val="left" w:pos="28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 w:val="20"/>
          <w:lang w:val="hr-HR"/>
        </w:rPr>
      </w:pPr>
      <w:r w:rsidRPr="00321ED7">
        <w:rPr>
          <w:sz w:val="20"/>
          <w:lang w:val="hr-HR"/>
        </w:rPr>
        <w:t xml:space="preserve">(b) Za potrebe ovog Priloga, relevantne vrste Transakcija su: </w:t>
      </w:r>
    </w:p>
    <w:p w14:paraId="58DE048B" w14:textId="77777777" w:rsidR="00383D69" w:rsidRPr="00321ED7" w:rsidRDefault="00383D69">
      <w:pPr>
        <w:widowControl w:val="0"/>
        <w:tabs>
          <w:tab w:val="left" w:pos="0"/>
          <w:tab w:val="left" w:pos="28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 w:val="20"/>
          <w:lang w:val="hr-HR"/>
        </w:rPr>
      </w:pPr>
    </w:p>
    <w:p w14:paraId="58612974" w14:textId="77777777" w:rsidR="00383D69" w:rsidRPr="00321ED7" w:rsidRDefault="00383D69">
      <w:pPr>
        <w:widowControl w:val="0"/>
        <w:tabs>
          <w:tab w:val="left" w:pos="27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270"/>
        <w:jc w:val="both"/>
        <w:rPr>
          <w:sz w:val="20"/>
          <w:lang w:val="hr-HR"/>
        </w:rPr>
      </w:pPr>
      <w:r w:rsidRPr="00321ED7">
        <w:rPr>
          <w:sz w:val="20"/>
          <w:lang w:val="hr-HR"/>
        </w:rPr>
        <w:t>Kamatni swap (Interest rate swap transaction)</w:t>
      </w:r>
    </w:p>
    <w:p w14:paraId="228022A1" w14:textId="77777777" w:rsidR="00383D69" w:rsidRPr="00321ED7" w:rsidRDefault="00383D69">
      <w:pPr>
        <w:widowControl w:val="0"/>
        <w:tabs>
          <w:tab w:val="left" w:pos="27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270"/>
        <w:jc w:val="both"/>
        <w:rPr>
          <w:sz w:val="20"/>
          <w:lang w:val="hr-HR"/>
        </w:rPr>
      </w:pPr>
      <w:r w:rsidRPr="00321ED7">
        <w:rPr>
          <w:sz w:val="20"/>
          <w:lang w:val="hr-HR"/>
        </w:rPr>
        <w:t>Valutni swap (Currency swap transaction)</w:t>
      </w:r>
    </w:p>
    <w:p w14:paraId="28BD4C03" w14:textId="77777777" w:rsidR="00383D69" w:rsidRPr="00321ED7" w:rsidRDefault="00383D69">
      <w:pPr>
        <w:widowControl w:val="0"/>
        <w:tabs>
          <w:tab w:val="left" w:pos="27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270"/>
        <w:jc w:val="both"/>
        <w:rPr>
          <w:sz w:val="20"/>
          <w:lang w:val="hr-HR"/>
        </w:rPr>
      </w:pPr>
      <w:r w:rsidRPr="00321ED7">
        <w:rPr>
          <w:sz w:val="20"/>
          <w:lang w:val="hr-HR"/>
        </w:rPr>
        <w:t>Međuvalutni kamatni swap (Cross-currency interest rate swap transaction)</w:t>
      </w:r>
    </w:p>
    <w:p w14:paraId="0119DA8C" w14:textId="77777777" w:rsidR="00383D69" w:rsidRPr="00321ED7" w:rsidRDefault="00383D69">
      <w:pPr>
        <w:widowControl w:val="0"/>
        <w:tabs>
          <w:tab w:val="left" w:pos="27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270"/>
        <w:jc w:val="both"/>
        <w:rPr>
          <w:sz w:val="20"/>
          <w:lang w:val="hr-HR"/>
        </w:rPr>
      </w:pPr>
      <w:r w:rsidRPr="00321ED7">
        <w:rPr>
          <w:sz w:val="20"/>
          <w:lang w:val="hr-HR"/>
        </w:rPr>
        <w:t>Određivanje gornje i donje granice kamatne stope (Interest rate cap, collar or floor transaction)</w:t>
      </w:r>
    </w:p>
    <w:p w14:paraId="57E1DCF6" w14:textId="77777777" w:rsidR="00383D69" w:rsidRPr="00321ED7" w:rsidRDefault="00383D69">
      <w:pPr>
        <w:widowControl w:val="0"/>
        <w:tabs>
          <w:tab w:val="left" w:pos="27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270"/>
        <w:jc w:val="both"/>
        <w:rPr>
          <w:sz w:val="20"/>
          <w:lang w:val="hr-HR"/>
        </w:rPr>
      </w:pPr>
      <w:r w:rsidRPr="00321ED7">
        <w:rPr>
          <w:sz w:val="20"/>
          <w:lang w:val="hr-HR"/>
        </w:rPr>
        <w:t>Opcija na swap (Swaption transaction)</w:t>
      </w:r>
    </w:p>
    <w:p w14:paraId="0EE6BABD" w14:textId="77777777" w:rsidR="00383D69" w:rsidRPr="00321ED7" w:rsidRDefault="00383D69">
      <w:pPr>
        <w:widowControl w:val="0"/>
        <w:tabs>
          <w:tab w:val="left" w:pos="27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270"/>
        <w:jc w:val="both"/>
        <w:rPr>
          <w:sz w:val="20"/>
          <w:lang w:val="hr-HR"/>
        </w:rPr>
      </w:pPr>
      <w:r w:rsidRPr="00321ED7">
        <w:rPr>
          <w:sz w:val="20"/>
          <w:lang w:val="hr-HR"/>
        </w:rPr>
        <w:t>Terminska transakcija na kamatnu stopu (Forward rate transaction – FRA)</w:t>
      </w:r>
    </w:p>
    <w:p w14:paraId="44969CC8" w14:textId="77777777" w:rsidR="00383D69" w:rsidRPr="00321ED7" w:rsidRDefault="00383D69">
      <w:pPr>
        <w:widowControl w:val="0"/>
        <w:tabs>
          <w:tab w:val="left" w:pos="27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270"/>
        <w:jc w:val="both"/>
        <w:rPr>
          <w:sz w:val="20"/>
          <w:lang w:val="hr-HR"/>
        </w:rPr>
      </w:pPr>
      <w:r w:rsidRPr="00321ED7">
        <w:rPr>
          <w:sz w:val="20"/>
          <w:lang w:val="hr-HR"/>
        </w:rPr>
        <w:t>Valutna opcija (Currency option transaction)</w:t>
      </w:r>
    </w:p>
    <w:p w14:paraId="6109805E" w14:textId="77777777" w:rsidR="00383D69" w:rsidRPr="00321ED7" w:rsidRDefault="00383D69">
      <w:pPr>
        <w:widowControl w:val="0"/>
        <w:tabs>
          <w:tab w:val="left" w:pos="27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270"/>
        <w:jc w:val="both"/>
        <w:rPr>
          <w:sz w:val="20"/>
          <w:lang w:val="hr-HR"/>
        </w:rPr>
      </w:pPr>
      <w:r w:rsidRPr="00321ED7">
        <w:rPr>
          <w:sz w:val="20"/>
          <w:lang w:val="hr-HR"/>
        </w:rPr>
        <w:t>Terminska kupoprodaja deviza (Forward foreign exchange transaction)</w:t>
      </w:r>
    </w:p>
    <w:p w14:paraId="448E7C93" w14:textId="77777777" w:rsidR="00383D69" w:rsidRPr="00321ED7" w:rsidRDefault="00383D69">
      <w:pPr>
        <w:widowControl w:val="0"/>
        <w:tabs>
          <w:tab w:val="left" w:pos="27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270"/>
        <w:jc w:val="both"/>
        <w:rPr>
          <w:sz w:val="20"/>
          <w:lang w:val="hr-HR"/>
        </w:rPr>
      </w:pPr>
      <w:r w:rsidRPr="00321ED7">
        <w:rPr>
          <w:sz w:val="20"/>
          <w:lang w:val="hr-HR"/>
        </w:rPr>
        <w:t>Transakcije kreditnim derivatima (Credit derivatives transactions)</w:t>
      </w:r>
    </w:p>
    <w:p w14:paraId="294DF8DB" w14:textId="77777777" w:rsidR="00383D69" w:rsidRPr="00321ED7" w:rsidRDefault="00383D69">
      <w:pPr>
        <w:widowControl w:val="0"/>
        <w:tabs>
          <w:tab w:val="left" w:pos="27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270"/>
        <w:jc w:val="both"/>
        <w:rPr>
          <w:sz w:val="20"/>
          <w:lang w:val="hr-HR"/>
        </w:rPr>
      </w:pPr>
      <w:r w:rsidRPr="00321ED7">
        <w:rPr>
          <w:sz w:val="20"/>
          <w:lang w:val="hr-HR"/>
        </w:rPr>
        <w:t>Swap osnova (Basis swap transaction)</w:t>
      </w:r>
    </w:p>
    <w:p w14:paraId="2F50C127" w14:textId="77777777" w:rsidR="00383D69" w:rsidRPr="00321ED7" w:rsidRDefault="00383D69">
      <w:pPr>
        <w:widowControl w:val="0"/>
        <w:tabs>
          <w:tab w:val="left" w:pos="27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270"/>
        <w:jc w:val="both"/>
        <w:rPr>
          <w:sz w:val="20"/>
          <w:lang w:val="hr-HR"/>
        </w:rPr>
      </w:pPr>
      <w:r w:rsidRPr="00321ED7">
        <w:rPr>
          <w:sz w:val="20"/>
          <w:lang w:val="hr-HR"/>
        </w:rPr>
        <w:t>Kamatna opcija (Interest rate option transaction)</w:t>
      </w:r>
    </w:p>
    <w:p w14:paraId="480EB59B" w14:textId="77777777" w:rsidR="00383D69" w:rsidRPr="00321ED7" w:rsidRDefault="00383D69">
      <w:pPr>
        <w:widowControl w:val="0"/>
        <w:tabs>
          <w:tab w:val="left" w:pos="27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270"/>
        <w:jc w:val="both"/>
        <w:rPr>
          <w:sz w:val="20"/>
          <w:lang w:val="hr-HR"/>
        </w:rPr>
      </w:pPr>
      <w:r w:rsidRPr="00321ED7">
        <w:rPr>
          <w:sz w:val="20"/>
          <w:lang w:val="hr-HR"/>
        </w:rPr>
        <w:t xml:space="preserve">Transakcije dioničkim derivatima (Equity derivative transaction) </w:t>
      </w:r>
    </w:p>
    <w:p w14:paraId="7759DD3D" w14:textId="77777777" w:rsidR="00383D69" w:rsidRPr="00321ED7" w:rsidRDefault="00383D69">
      <w:pPr>
        <w:widowControl w:val="0"/>
        <w:tabs>
          <w:tab w:val="left" w:pos="0"/>
          <w:tab w:val="left" w:pos="28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 w:val="20"/>
          <w:lang w:val="hr-HR"/>
        </w:rPr>
      </w:pPr>
    </w:p>
    <w:p w14:paraId="4D895682" w14:textId="77777777" w:rsidR="00383D69" w:rsidRPr="00321ED7" w:rsidRDefault="00383D69">
      <w:pPr>
        <w:widowControl w:val="0"/>
        <w:tabs>
          <w:tab w:val="left" w:pos="0"/>
          <w:tab w:val="left" w:pos="28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 w:val="20"/>
          <w:lang w:val="hr-HR"/>
        </w:rPr>
      </w:pPr>
      <w:r w:rsidRPr="00321ED7">
        <w:rPr>
          <w:sz w:val="20"/>
          <w:lang w:val="hr-HR"/>
        </w:rPr>
        <w:t>(c) U cilju izbjegavanja svake dvojbe, relevantne vrste Transakcija isključuju:</w:t>
      </w:r>
    </w:p>
    <w:p w14:paraId="28C8A20E" w14:textId="77777777" w:rsidR="00383D69" w:rsidRPr="00321ED7" w:rsidRDefault="00383D69">
      <w:pPr>
        <w:widowControl w:val="0"/>
        <w:tabs>
          <w:tab w:val="left" w:pos="27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270"/>
        <w:jc w:val="both"/>
        <w:rPr>
          <w:sz w:val="20"/>
          <w:lang w:val="hr-HR"/>
        </w:rPr>
      </w:pPr>
    </w:p>
    <w:p w14:paraId="33FDAAFC" w14:textId="77777777" w:rsidR="00383D69" w:rsidRPr="00321ED7" w:rsidRDefault="00383D69">
      <w:pPr>
        <w:widowControl w:val="0"/>
        <w:tabs>
          <w:tab w:val="left" w:pos="27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270"/>
        <w:jc w:val="both"/>
        <w:rPr>
          <w:sz w:val="20"/>
          <w:lang w:val="hr-HR"/>
        </w:rPr>
      </w:pPr>
      <w:r w:rsidRPr="00321ED7">
        <w:rPr>
          <w:sz w:val="20"/>
          <w:lang w:val="hr-HR"/>
        </w:rPr>
        <w:t>Promptne devizne poslove (Spot exchange transaction)</w:t>
      </w:r>
    </w:p>
    <w:p w14:paraId="25954C5B" w14:textId="77777777" w:rsidR="00383D69" w:rsidRPr="00321ED7" w:rsidRDefault="00383D69">
      <w:pPr>
        <w:widowControl w:val="0"/>
        <w:tabs>
          <w:tab w:val="left" w:pos="27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270"/>
        <w:jc w:val="both"/>
        <w:rPr>
          <w:sz w:val="20"/>
          <w:lang w:val="hr-HR"/>
        </w:rPr>
      </w:pPr>
      <w:r w:rsidRPr="00321ED7">
        <w:rPr>
          <w:sz w:val="20"/>
          <w:lang w:val="hr-HR"/>
        </w:rPr>
        <w:t>Transakcije robnim derivatima (Commodity derivative transaction)</w:t>
      </w:r>
    </w:p>
    <w:p w14:paraId="6B9F0B7C" w14:textId="77777777" w:rsidR="00383D69" w:rsidRPr="00321ED7" w:rsidRDefault="00383D69">
      <w:pPr>
        <w:widowControl w:val="0"/>
        <w:tabs>
          <w:tab w:val="left" w:pos="28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270"/>
        <w:jc w:val="both"/>
        <w:rPr>
          <w:sz w:val="20"/>
          <w:lang w:val="hr-HR"/>
        </w:rPr>
      </w:pPr>
      <w:r w:rsidRPr="00321ED7">
        <w:rPr>
          <w:sz w:val="20"/>
          <w:lang w:val="hr-HR"/>
        </w:rPr>
        <w:t xml:space="preserve">Opcije na obveznice (Bond option transaction) </w:t>
      </w:r>
    </w:p>
    <w:p w14:paraId="4F887860" w14:textId="77777777" w:rsidR="00383D69" w:rsidRPr="00321ED7" w:rsidRDefault="00383D69">
      <w:pPr>
        <w:widowControl w:val="0"/>
        <w:tabs>
          <w:tab w:val="left" w:pos="28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270"/>
        <w:jc w:val="both"/>
        <w:rPr>
          <w:sz w:val="20"/>
          <w:lang w:val="hr-HR"/>
        </w:rPr>
      </w:pPr>
      <w:r w:rsidRPr="00321ED7">
        <w:rPr>
          <w:rFonts w:cs="Arial"/>
          <w:sz w:val="20"/>
        </w:rPr>
        <w:t>Kupoprodaju</w:t>
      </w:r>
      <w:r w:rsidRPr="00321ED7">
        <w:rPr>
          <w:rFonts w:cs="Arial"/>
          <w:sz w:val="20"/>
          <w:lang w:val="hr-HR"/>
        </w:rPr>
        <w:t xml:space="preserve"> </w:t>
      </w:r>
      <w:r w:rsidRPr="00321ED7">
        <w:rPr>
          <w:rFonts w:cs="Arial"/>
          <w:sz w:val="20"/>
        </w:rPr>
        <w:t>rizika</w:t>
      </w:r>
      <w:r w:rsidRPr="00321ED7">
        <w:rPr>
          <w:rFonts w:cs="Arial"/>
          <w:sz w:val="20"/>
          <w:lang w:val="hr-HR"/>
        </w:rPr>
        <w:t xml:space="preserve"> </w:t>
      </w:r>
      <w:r w:rsidRPr="00321ED7">
        <w:rPr>
          <w:rFonts w:cs="Arial"/>
          <w:sz w:val="20"/>
        </w:rPr>
        <w:t>i</w:t>
      </w:r>
      <w:r w:rsidRPr="00321ED7">
        <w:rPr>
          <w:rFonts w:cs="Arial"/>
          <w:sz w:val="20"/>
          <w:lang w:val="hr-HR"/>
        </w:rPr>
        <w:t xml:space="preserve"> </w:t>
      </w:r>
      <w:r w:rsidRPr="00321ED7">
        <w:rPr>
          <w:rFonts w:cs="Arial"/>
          <w:sz w:val="20"/>
        </w:rPr>
        <w:t>svih</w:t>
      </w:r>
      <w:r w:rsidRPr="00321ED7">
        <w:rPr>
          <w:rFonts w:cs="Arial"/>
          <w:sz w:val="20"/>
          <w:lang w:val="hr-HR"/>
        </w:rPr>
        <w:t xml:space="preserve"> </w:t>
      </w:r>
      <w:r w:rsidRPr="00321ED7">
        <w:rPr>
          <w:rFonts w:cs="Arial"/>
          <w:sz w:val="20"/>
        </w:rPr>
        <w:t>priljeva</w:t>
      </w:r>
      <w:r w:rsidRPr="00321ED7">
        <w:rPr>
          <w:rFonts w:cs="Arial"/>
          <w:sz w:val="20"/>
          <w:lang w:val="hr-HR"/>
        </w:rPr>
        <w:t xml:space="preserve"> </w:t>
      </w:r>
      <w:r w:rsidRPr="00321ED7">
        <w:rPr>
          <w:rFonts w:cs="Arial"/>
          <w:sz w:val="20"/>
        </w:rPr>
        <w:t>od</w:t>
      </w:r>
      <w:r w:rsidRPr="00321ED7">
        <w:rPr>
          <w:rFonts w:cs="Arial"/>
          <w:sz w:val="20"/>
          <w:lang w:val="hr-HR"/>
        </w:rPr>
        <w:t xml:space="preserve"> </w:t>
      </w:r>
      <w:r w:rsidRPr="00321ED7">
        <w:rPr>
          <w:rFonts w:cs="Arial"/>
          <w:sz w:val="20"/>
        </w:rPr>
        <w:t>nekog</w:t>
      </w:r>
      <w:r w:rsidRPr="00321ED7">
        <w:rPr>
          <w:rFonts w:cs="Arial"/>
          <w:sz w:val="20"/>
          <w:lang w:val="hr-HR"/>
        </w:rPr>
        <w:t xml:space="preserve"> </w:t>
      </w:r>
      <w:r w:rsidRPr="00321ED7">
        <w:rPr>
          <w:rFonts w:cs="Arial"/>
          <w:sz w:val="20"/>
        </w:rPr>
        <w:t>potra</w:t>
      </w:r>
      <w:r w:rsidRPr="00321ED7">
        <w:rPr>
          <w:rFonts w:cs="Arial"/>
          <w:sz w:val="20"/>
          <w:lang w:val="hr-HR"/>
        </w:rPr>
        <w:t>ž</w:t>
      </w:r>
      <w:r w:rsidRPr="00321ED7">
        <w:rPr>
          <w:rFonts w:cs="Arial"/>
          <w:sz w:val="20"/>
        </w:rPr>
        <w:t>ivanja</w:t>
      </w:r>
      <w:r w:rsidRPr="00321ED7">
        <w:rPr>
          <w:rFonts w:cs="Arial"/>
          <w:sz w:val="20"/>
          <w:lang w:val="hr-HR"/>
        </w:rPr>
        <w:t xml:space="preserve"> </w:t>
      </w:r>
      <w:r w:rsidRPr="00321ED7">
        <w:rPr>
          <w:rFonts w:cs="Arial"/>
          <w:sz w:val="20"/>
        </w:rPr>
        <w:t>za</w:t>
      </w:r>
      <w:r w:rsidRPr="00321ED7">
        <w:rPr>
          <w:rFonts w:cs="Arial"/>
          <w:sz w:val="20"/>
          <w:lang w:val="hr-HR"/>
        </w:rPr>
        <w:t xml:space="preserve"> </w:t>
      </w:r>
      <w:r w:rsidRPr="00321ED7">
        <w:rPr>
          <w:rFonts w:cs="Arial"/>
          <w:sz w:val="20"/>
        </w:rPr>
        <w:t>odre</w:t>
      </w:r>
      <w:r w:rsidRPr="00321ED7">
        <w:rPr>
          <w:rFonts w:cs="Arial"/>
          <w:sz w:val="20"/>
          <w:lang w:val="hr-HR"/>
        </w:rPr>
        <w:t>đ</w:t>
      </w:r>
      <w:r w:rsidRPr="00321ED7">
        <w:rPr>
          <w:rFonts w:cs="Arial"/>
          <w:sz w:val="20"/>
        </w:rPr>
        <w:t>enu</w:t>
      </w:r>
      <w:r w:rsidRPr="00321ED7">
        <w:rPr>
          <w:rFonts w:cs="Arial"/>
          <w:sz w:val="20"/>
          <w:lang w:val="hr-HR"/>
        </w:rPr>
        <w:t xml:space="preserve"> </w:t>
      </w:r>
      <w:r w:rsidRPr="00321ED7">
        <w:rPr>
          <w:rFonts w:cs="Arial"/>
          <w:sz w:val="20"/>
        </w:rPr>
        <w:t>premiju</w:t>
      </w:r>
      <w:r w:rsidRPr="00321ED7">
        <w:rPr>
          <w:rFonts w:cs="Arial"/>
          <w:sz w:val="20"/>
          <w:lang w:val="hr-HR"/>
        </w:rPr>
        <w:t xml:space="preserve"> </w:t>
      </w:r>
      <w:r w:rsidRPr="00321ED7">
        <w:rPr>
          <w:rFonts w:cs="Arial"/>
          <w:sz w:val="20"/>
        </w:rPr>
        <w:t>i</w:t>
      </w:r>
      <w:r w:rsidRPr="00321ED7">
        <w:rPr>
          <w:rFonts w:cs="Arial"/>
          <w:sz w:val="20"/>
          <w:lang w:val="hr-HR"/>
        </w:rPr>
        <w:t xml:space="preserve"> </w:t>
      </w:r>
      <w:r w:rsidRPr="00321ED7">
        <w:rPr>
          <w:rFonts w:cs="Arial"/>
          <w:sz w:val="20"/>
        </w:rPr>
        <w:t>protupriljev</w:t>
      </w:r>
      <w:r w:rsidRPr="00321ED7">
        <w:rPr>
          <w:rFonts w:cs="Arial"/>
          <w:sz w:val="20"/>
          <w:lang w:val="hr-HR"/>
        </w:rPr>
        <w:t xml:space="preserve"> (</w:t>
      </w:r>
      <w:r w:rsidRPr="00321ED7">
        <w:rPr>
          <w:sz w:val="20"/>
          <w:lang w:val="hr-HR"/>
        </w:rPr>
        <w:t>Total Return Swap transaction)</w:t>
      </w:r>
    </w:p>
    <w:p w14:paraId="417EDD1B" w14:textId="77777777" w:rsidR="00383D69" w:rsidRPr="00321ED7" w:rsidRDefault="00383D69">
      <w:pPr>
        <w:widowControl w:val="0"/>
        <w:tabs>
          <w:tab w:val="left" w:pos="28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270"/>
        <w:jc w:val="both"/>
        <w:rPr>
          <w:sz w:val="20"/>
          <w:lang w:val="hr-HR"/>
        </w:rPr>
      </w:pPr>
      <w:r w:rsidRPr="00321ED7">
        <w:rPr>
          <w:sz w:val="20"/>
          <w:lang w:val="hr-HR"/>
        </w:rPr>
        <w:t xml:space="preserve">Svaku drugu vrstu transakcije koja nije ovdje navedena </w:t>
      </w:r>
    </w:p>
    <w:p w14:paraId="3AF533AB" w14:textId="77777777" w:rsidR="00383D69" w:rsidRPr="00321ED7" w:rsidRDefault="00383D69">
      <w:pPr>
        <w:spacing w:line="192" w:lineRule="exact"/>
        <w:ind w:right="566"/>
        <w:jc w:val="both"/>
        <w:rPr>
          <w:sz w:val="20"/>
          <w:lang w:val="hr-HR"/>
        </w:rPr>
      </w:pPr>
    </w:p>
    <w:p w14:paraId="6BCBFF4F" w14:textId="77777777" w:rsidR="00383D69" w:rsidRPr="00321ED7" w:rsidRDefault="00383D69">
      <w:pPr>
        <w:rPr>
          <w:sz w:val="20"/>
          <w:lang w:val="hr-HR"/>
        </w:rPr>
      </w:pPr>
    </w:p>
    <w:p w14:paraId="0C0E71E3" w14:textId="77777777" w:rsidR="00383D69" w:rsidRPr="00321ED7" w:rsidRDefault="00383D69">
      <w:pPr>
        <w:rPr>
          <w:sz w:val="20"/>
          <w:lang w:val="pl-PL"/>
        </w:rPr>
      </w:pPr>
    </w:p>
    <w:p w14:paraId="2133D26E" w14:textId="77777777" w:rsidR="00383D69" w:rsidRPr="00321ED7" w:rsidRDefault="00383D69">
      <w:pPr>
        <w:rPr>
          <w:sz w:val="20"/>
        </w:rPr>
      </w:pPr>
    </w:p>
    <w:sectPr w:rsidR="00383D69" w:rsidRPr="00321ED7">
      <w:type w:val="continuous"/>
      <w:pgSz w:w="11906" w:h="16838"/>
      <w:pgMar w:top="910" w:right="851" w:bottom="680" w:left="851" w:header="680"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7BF14" w14:textId="77777777" w:rsidR="00370FEF" w:rsidRDefault="00370FEF">
      <w:r>
        <w:separator/>
      </w:r>
    </w:p>
  </w:endnote>
  <w:endnote w:type="continuationSeparator" w:id="0">
    <w:p w14:paraId="17AB5FF8" w14:textId="77777777" w:rsidR="00370FEF" w:rsidRDefault="00370FEF">
      <w:r>
        <w:continuationSeparator/>
      </w:r>
    </w:p>
  </w:endnote>
  <w:endnote w:type="continuationNotice" w:id="1">
    <w:p w14:paraId="61A9F116" w14:textId="77777777" w:rsidR="00370FEF" w:rsidRDefault="00370F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jaVu Sans">
    <w:charset w:val="80"/>
    <w:family w:val="auto"/>
    <w:pitch w:val="variable"/>
  </w:font>
  <w:font w:name="ANCPGK+Arial">
    <w:altName w:val="Yu Gothic"/>
    <w:charset w:val="8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0F80F" w14:textId="77777777" w:rsidR="00383D69" w:rsidRDefault="00383D69">
    <w:pPr>
      <w:pStyle w:val="Footer"/>
      <w:jc w:val="center"/>
    </w:pP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8A0DB4">
      <w:rPr>
        <w:rStyle w:val="PageNumber"/>
        <w:noProof/>
        <w:sz w:val="16"/>
        <w:szCs w:val="16"/>
      </w:rPr>
      <w:t>1</w:t>
    </w:r>
    <w:r>
      <w:rPr>
        <w:rStyle w:val="PageNumber"/>
        <w:sz w:val="16"/>
        <w:szCs w:val="16"/>
      </w:rPr>
      <w:fldChar w:fldCharType="end"/>
    </w:r>
    <w:r>
      <w:rPr>
        <w:rStyle w:val="PageNumber"/>
        <w:sz w:val="16"/>
        <w:szCs w:val="16"/>
      </w:rPr>
      <w:t>/</w:t>
    </w:r>
    <w:r>
      <w:rPr>
        <w:rStyle w:val="PageNumber"/>
        <w:sz w:val="16"/>
        <w:szCs w:val="16"/>
      </w:rPr>
      <w:fldChar w:fldCharType="begin"/>
    </w:r>
    <w:r>
      <w:rPr>
        <w:rStyle w:val="PageNumber"/>
        <w:sz w:val="16"/>
        <w:szCs w:val="16"/>
      </w:rPr>
      <w:instrText xml:space="preserve"> NUMPAGES \*Arabic </w:instrText>
    </w:r>
    <w:r>
      <w:rPr>
        <w:rStyle w:val="PageNumber"/>
        <w:sz w:val="16"/>
        <w:szCs w:val="16"/>
      </w:rPr>
      <w:fldChar w:fldCharType="separate"/>
    </w:r>
    <w:r w:rsidR="008A0DB4">
      <w:rPr>
        <w:rStyle w:val="PageNumber"/>
        <w:noProof/>
        <w:sz w:val="16"/>
        <w:szCs w:val="16"/>
      </w:rPr>
      <w:t>8</w:t>
    </w:r>
    <w:r>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A9BC9" w14:textId="77777777" w:rsidR="00370FEF" w:rsidRDefault="00370FEF">
      <w:r>
        <w:separator/>
      </w:r>
    </w:p>
  </w:footnote>
  <w:footnote w:type="continuationSeparator" w:id="0">
    <w:p w14:paraId="7A2698EF" w14:textId="77777777" w:rsidR="00370FEF" w:rsidRDefault="00370FEF">
      <w:r>
        <w:continuationSeparator/>
      </w:r>
    </w:p>
  </w:footnote>
  <w:footnote w:type="continuationNotice" w:id="1">
    <w:p w14:paraId="0ACDB26D" w14:textId="77777777" w:rsidR="00370FEF" w:rsidRDefault="00370F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763D3D8B731C473A9A15659937F26354"/>
      </w:placeholder>
      <w:temporary/>
      <w:showingPlcHdr/>
      <w15:appearance w15:val="hidden"/>
    </w:sdtPr>
    <w:sdtEndPr/>
    <w:sdtContent>
      <w:p w14:paraId="107EA91C" w14:textId="77777777" w:rsidR="00D533E7" w:rsidRDefault="00D533E7">
        <w:pPr>
          <w:pStyle w:val="Header"/>
        </w:pPr>
        <w:r>
          <w:t>[Type here]</w:t>
        </w:r>
      </w:p>
    </w:sdtContent>
  </w:sdt>
  <w:p w14:paraId="213379A8" w14:textId="53C03A05" w:rsidR="00570622" w:rsidRDefault="005706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36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4"/>
    <w:multiLevelType w:val="singleLevel"/>
    <w:tmpl w:val="00000004"/>
    <w:name w:val="WW8Num8"/>
    <w:lvl w:ilvl="0">
      <w:start w:val="1"/>
      <w:numFmt w:val="decimal"/>
      <w:lvlText w:val="(%1)"/>
      <w:lvlJc w:val="left"/>
      <w:pPr>
        <w:tabs>
          <w:tab w:val="num" w:pos="0"/>
        </w:tabs>
        <w:ind w:left="360" w:hanging="360"/>
      </w:pPr>
    </w:lvl>
  </w:abstractNum>
  <w:abstractNum w:abstractNumId="4" w15:restartNumberingAfterBreak="0">
    <w:nsid w:val="00000005"/>
    <w:multiLevelType w:val="singleLevel"/>
    <w:tmpl w:val="00000005"/>
    <w:name w:val="WW8Num9"/>
    <w:lvl w:ilvl="0">
      <w:numFmt w:val="bullet"/>
      <w:lvlText w:val="-"/>
      <w:lvlJc w:val="left"/>
      <w:pPr>
        <w:tabs>
          <w:tab w:val="num" w:pos="1065"/>
        </w:tabs>
        <w:ind w:left="1065" w:hanging="360"/>
      </w:pPr>
      <w:rPr>
        <w:rFonts w:ascii="Arial" w:hAnsi="Arial" w:cs="Arial"/>
      </w:rPr>
    </w:lvl>
  </w:abstractNum>
  <w:num w:numId="1" w16cid:durableId="39865306">
    <w:abstractNumId w:val="0"/>
  </w:num>
  <w:num w:numId="2" w16cid:durableId="1612665200">
    <w:abstractNumId w:val="1"/>
  </w:num>
  <w:num w:numId="3" w16cid:durableId="1062556539">
    <w:abstractNumId w:val="2"/>
  </w:num>
  <w:num w:numId="4" w16cid:durableId="1165437009">
    <w:abstractNumId w:val="3"/>
  </w:num>
  <w:num w:numId="5" w16cid:durableId="10681888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7A3"/>
    <w:rsid w:val="000306C6"/>
    <w:rsid w:val="00120B46"/>
    <w:rsid w:val="002A5B06"/>
    <w:rsid w:val="00321ED7"/>
    <w:rsid w:val="00370FEF"/>
    <w:rsid w:val="00383D69"/>
    <w:rsid w:val="003A4AE5"/>
    <w:rsid w:val="00406EB7"/>
    <w:rsid w:val="005150D5"/>
    <w:rsid w:val="00537273"/>
    <w:rsid w:val="005550BB"/>
    <w:rsid w:val="00570622"/>
    <w:rsid w:val="00781808"/>
    <w:rsid w:val="00880E5E"/>
    <w:rsid w:val="008A0DB4"/>
    <w:rsid w:val="008A7BE0"/>
    <w:rsid w:val="009C5290"/>
    <w:rsid w:val="00A015F5"/>
    <w:rsid w:val="00A07E16"/>
    <w:rsid w:val="00A92986"/>
    <w:rsid w:val="00A93764"/>
    <w:rsid w:val="00AC597C"/>
    <w:rsid w:val="00B047A3"/>
    <w:rsid w:val="00BD1167"/>
    <w:rsid w:val="00C26EB3"/>
    <w:rsid w:val="00CA5BA6"/>
    <w:rsid w:val="00CC3570"/>
    <w:rsid w:val="00CE3A57"/>
    <w:rsid w:val="00CF3D4E"/>
    <w:rsid w:val="00D0461D"/>
    <w:rsid w:val="00D533E7"/>
    <w:rsid w:val="00D9200C"/>
    <w:rsid w:val="00E11790"/>
    <w:rsid w:val="00EB23BF"/>
    <w:rsid w:val="00EC7C30"/>
    <w:rsid w:val="00EF63BE"/>
    <w:rsid w:val="00F33090"/>
    <w:rsid w:val="00F3469D"/>
    <w:rsid w:val="00F37B83"/>
    <w:rsid w:val="00F9783C"/>
    <w:rsid w:val="00FC4F1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2619E0B4"/>
  <w15:chartTrackingRefBased/>
  <w15:docId w15:val="{31544EF0-C617-4449-A459-B50832186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sz w:val="24"/>
      <w:lang w:val="de-DE" w:eastAsia="ar-SA"/>
    </w:rPr>
  </w:style>
  <w:style w:type="paragraph" w:styleId="Heading1">
    <w:name w:val="heading 1"/>
    <w:basedOn w:val="Normal"/>
    <w:next w:val="Normal"/>
    <w:qFormat/>
    <w:pPr>
      <w:keepNext/>
      <w:numPr>
        <w:numId w:val="1"/>
      </w:numPr>
      <w:pBdr>
        <w:top w:val="single" w:sz="4" w:space="1" w:color="000000"/>
        <w:left w:val="single" w:sz="4" w:space="1" w:color="000000"/>
        <w:bottom w:val="single" w:sz="4" w:space="1" w:color="000000"/>
        <w:right w:val="single" w:sz="4" w:space="1" w:color="000000"/>
      </w:pBdr>
      <w:shd w:val="clear" w:color="auto" w:fill="E5E5E5"/>
      <w:ind w:left="7938" w:firstLine="0"/>
      <w:outlineLvl w:val="0"/>
    </w:pPr>
    <w:rPr>
      <w:b/>
      <w:sz w:val="22"/>
      <w:u w:val="single"/>
    </w:rPr>
  </w:style>
  <w:style w:type="paragraph" w:styleId="Heading2">
    <w:name w:val="heading 2"/>
    <w:basedOn w:val="Normal"/>
    <w:next w:val="Normal"/>
    <w:qFormat/>
    <w:pPr>
      <w:keepNext/>
      <w:numPr>
        <w:ilvl w:val="1"/>
        <w:numId w:val="1"/>
      </w:numPr>
      <w:tabs>
        <w:tab w:val="left" w:pos="-1985"/>
        <w:tab w:val="left" w:pos="426"/>
      </w:tabs>
      <w:outlineLvl w:val="1"/>
    </w:pPr>
    <w:rPr>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9z0">
    <w:name w:val="WW8Num9z0"/>
    <w:rPr>
      <w:rFonts w:ascii="Arial" w:eastAsia="Times New Roman" w:hAnsi="Arial" w:cs="Aria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sz w:val="18"/>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Heading1Char">
    <w:name w:val="Heading 1 Char"/>
    <w:rPr>
      <w:rFonts w:eastAsia="Times New Roman" w:cs="Times New Roman"/>
      <w:b/>
      <w:sz w:val="22"/>
      <w:szCs w:val="20"/>
      <w:u w:val="single"/>
      <w:shd w:val="clear" w:color="auto" w:fill="E5E5E5"/>
      <w:lang w:val="de-DE"/>
    </w:rPr>
  </w:style>
  <w:style w:type="character" w:customStyle="1" w:styleId="Heading2Char">
    <w:name w:val="Heading 2 Char"/>
    <w:rPr>
      <w:rFonts w:eastAsia="Times New Roman" w:cs="Times New Roman"/>
      <w:sz w:val="16"/>
      <w:szCs w:val="20"/>
      <w:u w:val="single"/>
      <w:lang w:val="de-DE"/>
    </w:rPr>
  </w:style>
  <w:style w:type="character" w:customStyle="1" w:styleId="FooterChar">
    <w:name w:val="Footer Char"/>
    <w:rPr>
      <w:rFonts w:eastAsia="Times New Roman" w:cs="Times New Roman"/>
      <w:szCs w:val="20"/>
      <w:lang w:val="de-DE"/>
    </w:rPr>
  </w:style>
  <w:style w:type="character" w:customStyle="1" w:styleId="HeaderChar">
    <w:name w:val="Header Char"/>
    <w:uiPriority w:val="99"/>
    <w:rPr>
      <w:rFonts w:eastAsia="Times New Roman" w:cs="Times New Roman"/>
      <w:szCs w:val="20"/>
      <w:lang w:val="de-DE"/>
    </w:rPr>
  </w:style>
  <w:style w:type="character" w:styleId="PageNumber">
    <w:name w:val="page number"/>
    <w:basedOn w:val="DefaultParagraphFont"/>
  </w:style>
  <w:style w:type="character" w:customStyle="1" w:styleId="BodyText2Char">
    <w:name w:val="Body Text 2 Char"/>
    <w:rPr>
      <w:rFonts w:eastAsia="Times New Roman" w:cs="Times New Roman"/>
      <w:szCs w:val="20"/>
      <w:lang w:val="de-DE"/>
    </w:rPr>
  </w:style>
  <w:style w:type="character" w:customStyle="1" w:styleId="BodyTextIndent2Char">
    <w:name w:val="Body Text Indent 2 Char"/>
    <w:rPr>
      <w:rFonts w:eastAsia="Times New Roman" w:cs="Times New Roman"/>
      <w:szCs w:val="20"/>
      <w:lang w:val="de-DE"/>
    </w:rPr>
  </w:style>
  <w:style w:type="character" w:customStyle="1" w:styleId="BodyTextIndent3Char">
    <w:name w:val="Body Text Indent 3 Char"/>
    <w:rPr>
      <w:rFonts w:eastAsia="Times New Roman" w:cs="Times New Roman"/>
      <w:szCs w:val="20"/>
      <w:lang w:val="de-DE"/>
    </w:rPr>
  </w:style>
  <w:style w:type="character" w:customStyle="1" w:styleId="BodyTextChar">
    <w:name w:val="Body Text Char"/>
    <w:rPr>
      <w:rFonts w:eastAsia="Times New Roman" w:cs="Times New Roman"/>
      <w:sz w:val="16"/>
      <w:szCs w:val="20"/>
      <w:lang w:val="de-DE"/>
    </w:rPr>
  </w:style>
  <w:style w:type="character" w:styleId="Hyperlink">
    <w:name w:val="Hyperlink"/>
    <w:rPr>
      <w:color w:val="0000FF"/>
      <w:u w:val="single"/>
    </w:rPr>
  </w:style>
  <w:style w:type="character" w:customStyle="1" w:styleId="FootnoteTextChar">
    <w:name w:val="Footnote Text Char"/>
    <w:rPr>
      <w:rFonts w:eastAsia="Times New Roman" w:cs="Times New Roman"/>
      <w:sz w:val="20"/>
      <w:szCs w:val="20"/>
      <w:lang w:val="de-DE"/>
    </w:rPr>
  </w:style>
  <w:style w:type="character" w:customStyle="1" w:styleId="FootnoteCharacters">
    <w:name w:val="Footnote Characters"/>
    <w:rPr>
      <w:vertAlign w:val="superscript"/>
    </w:rPr>
  </w:style>
  <w:style w:type="character" w:customStyle="1" w:styleId="BalloonTextChar">
    <w:name w:val="Balloon Text Char"/>
    <w:rPr>
      <w:rFonts w:ascii="Tahoma" w:eastAsia="Times New Roman" w:hAnsi="Tahoma" w:cs="Tahoma"/>
      <w:sz w:val="16"/>
      <w:szCs w:val="16"/>
      <w:lang w:val="de-DE"/>
    </w:rPr>
  </w:style>
  <w:style w:type="character" w:styleId="CommentReference">
    <w:name w:val="annotation reference"/>
    <w:rPr>
      <w:sz w:val="16"/>
      <w:szCs w:val="16"/>
    </w:rPr>
  </w:style>
  <w:style w:type="character" w:customStyle="1" w:styleId="CommentTextChar">
    <w:name w:val="Comment Text Char"/>
    <w:rPr>
      <w:rFonts w:eastAsia="Times New Roman" w:cs="Times New Roman"/>
      <w:lang w:val="de-DE"/>
    </w:rPr>
  </w:style>
  <w:style w:type="character" w:customStyle="1" w:styleId="CommentSubjectChar">
    <w:name w:val="Comment Subject Char"/>
    <w:rPr>
      <w:rFonts w:eastAsia="Times New Roman" w:cs="Times New Roman"/>
      <w:b/>
      <w:bCs/>
      <w:lang w:val="de-DE"/>
    </w:rPr>
  </w:style>
  <w:style w:type="paragraph" w:customStyle="1" w:styleId="Heading">
    <w:name w:val="Heading"/>
    <w:basedOn w:val="Normal"/>
    <w:next w:val="BodyText"/>
    <w:pPr>
      <w:keepNext/>
      <w:spacing w:before="240" w:after="120"/>
    </w:pPr>
    <w:rPr>
      <w:rFonts w:eastAsia="DejaVu Sans" w:cs="DejaVu Sans"/>
      <w:sz w:val="28"/>
      <w:szCs w:val="28"/>
    </w:rPr>
  </w:style>
  <w:style w:type="paragraph" w:styleId="BodyText">
    <w:name w:val="Body Text"/>
    <w:basedOn w:val="Normal"/>
    <w:pPr>
      <w:jc w:val="both"/>
    </w:pPr>
    <w:rPr>
      <w:sz w:val="16"/>
    </w:rPr>
  </w:style>
  <w:style w:type="paragraph" w:styleId="List">
    <w:name w:val="List"/>
    <w:basedOn w:val="BodyText"/>
  </w:style>
  <w:style w:type="paragraph" w:styleId="Caption">
    <w:name w:val="caption"/>
    <w:basedOn w:val="Normal"/>
    <w:qFormat/>
    <w:pPr>
      <w:suppressLineNumbers/>
      <w:spacing w:before="120" w:after="120"/>
    </w:pPr>
    <w:rPr>
      <w:i/>
      <w:iCs/>
      <w:szCs w:val="24"/>
    </w:rPr>
  </w:style>
  <w:style w:type="paragraph" w:customStyle="1" w:styleId="Index">
    <w:name w:val="Index"/>
    <w:basedOn w:val="Normal"/>
    <w:pPr>
      <w:suppressLineNumbers/>
    </w:pPr>
  </w:style>
  <w:style w:type="paragraph" w:styleId="Footer">
    <w:name w:val="footer"/>
    <w:basedOn w:val="Normal"/>
    <w:pPr>
      <w:tabs>
        <w:tab w:val="center" w:pos="4536"/>
        <w:tab w:val="right" w:pos="9072"/>
      </w:tabs>
    </w:pPr>
    <w:rPr>
      <w:sz w:val="20"/>
    </w:rPr>
  </w:style>
  <w:style w:type="paragraph" w:styleId="Header">
    <w:name w:val="header"/>
    <w:basedOn w:val="Normal"/>
    <w:uiPriority w:val="99"/>
    <w:pPr>
      <w:tabs>
        <w:tab w:val="center" w:pos="4536"/>
        <w:tab w:val="right" w:pos="9072"/>
      </w:tabs>
    </w:pPr>
    <w:rPr>
      <w:sz w:val="20"/>
    </w:rPr>
  </w:style>
  <w:style w:type="paragraph" w:styleId="BodyText2">
    <w:name w:val="Body Text 2"/>
    <w:basedOn w:val="Normal"/>
    <w:pPr>
      <w:tabs>
        <w:tab w:val="left" w:pos="-1985"/>
        <w:tab w:val="left" w:pos="426"/>
      </w:tabs>
      <w:ind w:left="851" w:hanging="851"/>
    </w:pPr>
    <w:rPr>
      <w:sz w:val="20"/>
    </w:rPr>
  </w:style>
  <w:style w:type="paragraph" w:styleId="BodyTextIndent2">
    <w:name w:val="Body Text Indent 2"/>
    <w:basedOn w:val="Normal"/>
    <w:pPr>
      <w:tabs>
        <w:tab w:val="left" w:pos="426"/>
      </w:tabs>
      <w:ind w:left="708" w:hanging="426"/>
    </w:pPr>
    <w:rPr>
      <w:sz w:val="20"/>
    </w:rPr>
  </w:style>
  <w:style w:type="paragraph" w:styleId="BodyTextIndent3">
    <w:name w:val="Body Text Indent 3"/>
    <w:basedOn w:val="Normal"/>
    <w:pPr>
      <w:tabs>
        <w:tab w:val="left" w:pos="426"/>
      </w:tabs>
      <w:ind w:left="993" w:hanging="285"/>
    </w:pPr>
    <w:rPr>
      <w:sz w:val="20"/>
    </w:rPr>
  </w:style>
  <w:style w:type="paragraph" w:styleId="FootnoteText">
    <w:name w:val="footnote text"/>
    <w:basedOn w:val="Normal"/>
    <w:rPr>
      <w:sz w:val="20"/>
    </w:rPr>
  </w:style>
  <w:style w:type="paragraph" w:styleId="BalloonText">
    <w:name w:val="Balloon Text"/>
    <w:basedOn w:val="Normal"/>
    <w:rPr>
      <w:rFonts w:ascii="Tahoma" w:hAnsi="Tahoma"/>
      <w:sz w:val="16"/>
      <w:szCs w:val="16"/>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Revision">
    <w:name w:val="Revision"/>
    <w:pPr>
      <w:suppressAutoHyphens/>
    </w:pPr>
    <w:rPr>
      <w:rFonts w:ascii="Arial" w:hAnsi="Arial"/>
      <w:sz w:val="24"/>
      <w:lang w:val="de-DE" w:eastAsia="ar-SA"/>
    </w:rPr>
  </w:style>
  <w:style w:type="paragraph" w:styleId="ListParagraph">
    <w:name w:val="List Paragraph"/>
    <w:basedOn w:val="Normal"/>
    <w:qFormat/>
    <w:pPr>
      <w:ind w:left="708"/>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3D3D8B731C473A9A15659937F26354"/>
        <w:category>
          <w:name w:val="General"/>
          <w:gallery w:val="placeholder"/>
        </w:category>
        <w:types>
          <w:type w:val="bbPlcHdr"/>
        </w:types>
        <w:behaviors>
          <w:behavior w:val="content"/>
        </w:behaviors>
        <w:guid w:val="{3D5009CE-AF20-45DA-8317-0ABBD9D19526}"/>
      </w:docPartPr>
      <w:docPartBody>
        <w:p w:rsidR="00B931F9" w:rsidRDefault="00A23FDE" w:rsidP="00A23FDE">
          <w:pPr>
            <w:pStyle w:val="763D3D8B731C473A9A15659937F2635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jaVu Sans">
    <w:charset w:val="80"/>
    <w:family w:val="auto"/>
    <w:pitch w:val="variable"/>
  </w:font>
  <w:font w:name="ANCPGK+Arial">
    <w:altName w:val="Yu Gothic"/>
    <w:charset w:val="8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FDE"/>
    <w:rsid w:val="00A23FDE"/>
    <w:rsid w:val="00B931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3D3D8B731C473A9A15659937F26354">
    <w:name w:val="763D3D8B731C473A9A15659937F26354"/>
    <w:rsid w:val="00A23F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509CBA-2976-49D5-942D-2CE8796B6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3447</Words>
  <Characters>19654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Okvirni ugovor i Anex I od</vt:lpstr>
    </vt:vector>
  </TitlesOfParts>
  <Company>Zagrebacka banka</Company>
  <LinksUpToDate>false</LinksUpToDate>
  <CharactersWithSpaces>23055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Okvirni ugovor i Anex I od</dc:title>
  <dc:subject/>
  <dc:creator>Dinko Ivkovic (J904782)</dc:creator>
  <cp:keywords/>
  <cp:lastModifiedBy>HUB</cp:lastModifiedBy>
  <cp:revision>3</cp:revision>
  <cp:lastPrinted>2014-01-28T10:38:00Z</cp:lastPrinted>
  <dcterms:created xsi:type="dcterms:W3CDTF">2022-12-13T09:48:00Z</dcterms:created>
  <dcterms:modified xsi:type="dcterms:W3CDTF">2022-12-13T09:50:00Z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b301fc-f4e8-4434-b9b9-e7da7a363f22_Enabled">
    <vt:lpwstr>true</vt:lpwstr>
  </property>
  <property fmtid="{D5CDD505-2E9C-101B-9397-08002B2CF9AE}" pid="3" name="MSIP_Label_0eb301fc-f4e8-4434-b9b9-e7da7a363f22_SetDate">
    <vt:lpwstr>2022-05-18T08:26:13Z</vt:lpwstr>
  </property>
  <property fmtid="{D5CDD505-2E9C-101B-9397-08002B2CF9AE}" pid="4" name="MSIP_Label_0eb301fc-f4e8-4434-b9b9-e7da7a363f22_Method">
    <vt:lpwstr>Standard</vt:lpwstr>
  </property>
  <property fmtid="{D5CDD505-2E9C-101B-9397-08002B2CF9AE}" pid="5" name="MSIP_Label_0eb301fc-f4e8-4434-b9b9-e7da7a363f22_Name">
    <vt:lpwstr>RESTRICTED</vt:lpwstr>
  </property>
  <property fmtid="{D5CDD505-2E9C-101B-9397-08002B2CF9AE}" pid="6" name="MSIP_Label_0eb301fc-f4e8-4434-b9b9-e7da7a363f22_SiteId">
    <vt:lpwstr>08aa261f-ff45-40d0-8662-4a8befbf8105</vt:lpwstr>
  </property>
  <property fmtid="{D5CDD505-2E9C-101B-9397-08002B2CF9AE}" pid="7" name="MSIP_Label_0eb301fc-f4e8-4434-b9b9-e7da7a363f22_ActionId">
    <vt:lpwstr>5806557d-e4b1-48f7-bed5-beb3310a748f</vt:lpwstr>
  </property>
  <property fmtid="{D5CDD505-2E9C-101B-9397-08002B2CF9AE}" pid="8" name="MSIP_Label_0eb301fc-f4e8-4434-b9b9-e7da7a363f22_ContentBits">
    <vt:lpwstr>3</vt:lpwstr>
  </property>
</Properties>
</file>